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ThUG — Beschwerde; Beschwerdefrist</w:t>
      </w:r>
    </w:p>
    <w:p>
      <w:r>
        <w:rPr>
          <w:color w:val="555555"/>
          <w:sz w:val="18"/>
        </w:rPr>
        <w:t xml:space="preserve">Therapieunterbringungsgesetz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Recht der Beschwerde steht dem Betroffenen, dem ihm beigeordneten Rechtsanwalt, der zuständigen unteren Verwaltungsbehörde sowie dem Leiter der Einrichtung nach § 5 Absatz 1 Satz 3 zu, sofern er einen Antrag nach dieser Vorschrift gestellt hat.</w:t>
      </w:r>
    </w:p>
    <w:p>
      <w:r>
        <w:t xml:space="preserve">(2) Die Beschwerde ist binnen einer Frist von zwei Wochen einzulegen.</w:t>
      </w:r>
    </w:p>
    <w:p>
      <w:r>
        <w:t xml:space="preserve">(3) Eine Übertragung der Entscheidung über die Beschwerde auf den Einzelrichter ist ausgeschlossen.</w:t>
      </w:r>
    </w:p>
    <w:p>
      <w:r>
        <w:rPr>
          <w:color w:val="555555"/>
          <w:sz w:val="17"/>
        </w:rPr>
        <w:t xml:space="preserve">Zitiervorschlag: § 16 ThUG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https://recht.nulegal.eu/gesetze/ThUG/16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