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ThUG — Entscheidung; Beschlussformel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 über den Antrag in der Hauptsache erst nach Eintritt der Rechtskraft der in § 1 Absatz 1 vorausgesetzten Entscheidung. Eine Entscheidung kann bereits zu einem früheren Zeitpunkt ergehen, wenn der Antrag aus anderen Gründen als wegen Fehlens der in Satz 1 vorausgesetzten Entscheidung abzuweisen ist.</w:t>
      </w:r>
    </w:p>
    <w:p>
      <w:r>
        <w:t xml:space="preserve">(2) Die Beschlussformel hat den Zeitpunkt zu bestimmen, an dem die Therapieunterbringung endet.</w:t>
      </w:r>
    </w:p>
    <w:p>
      <w:r>
        <w:t xml:space="preserve">(3) Das Gericht kann die sofortige Wirksamkeit des Beschlusses anordnen.</w:t>
      </w:r>
    </w:p>
    <w:p>
      <w:r>
        <w:rPr>
          <w:color w:val="555555"/>
          <w:sz w:val="17"/>
        </w:rPr>
        <w:t xml:space="preserve">Zitiervorschlag: § 10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