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 ThUG — Therapieunterbringung</w:t>
      </w:r>
    </w:p>
    <w:p>
      <w:r>
        <w:rPr>
          <w:color w:val="555555"/>
          <w:sz w:val="18"/>
        </w:rPr>
        <w:t xml:space="preserve">Therapieunterbringungsgesetz</w:t>
      </w:r>
    </w:p>
    <w:p>
      <w:r>
        <w:rPr>
          <w:color w:val="555555"/>
          <w:sz w:val="18"/>
        </w:rPr>
        <w:t xml:space="preserve">Stand: 10.06.2019 (konsolidierte Textfassung, kein amtliches Inkrafttretensdatum)</w:t>
      </w:r>
    </w:p>
    <w:p>
      <w:r>
        <w:t xml:space="preserve">(1) Steht auf Grund einer rechtskräftigen Entscheidung fest, dass eine wegen einer Straftat der in § 66 Absatz 3 Satz 1 des Strafgesetzbuches genannten Art verurteilte Person deshalb nicht länger in der Sicherungsverwahrung untergebracht werden kann, weil ein Verbot rückwirkender Verschärfungen im Recht der Sicherungsverwahrung zu berücksichtigen ist, kann das zuständige Gericht die Unterbringung dieser Person in einer geeigneten geschlossenen Einrichtung anordnen, wenn</w:t>
      </w:r>
    </w:p>
    <w:p>
      <w:pPr>
        <w:ind w:left="420"/>
      </w:pPr>
      <w:r>
        <w:t xml:space="preserve">1. sie an einer psychischen Störung leidet und eine Gesamtwürdigung ihrer Persönlichkeit, ihres Vorlebens und ihrer Lebensverhältnisse ergibt, dass sie infolge ihrer psychischen Störung mit hoher Wahrscheinlichkeit das Leben, die körperliche Unversehrtheit, die persönliche Freiheit oder die sexuelle Selbstbestimmung einer anderen Person erheblich beeinträchtigen wird, und</w:t>
      </w:r>
    </w:p>
    <w:p>
      <w:pPr>
        <w:ind w:left="420"/>
      </w:pPr>
      <w:r>
        <w:t xml:space="preserve">2. die Unterbringung aus den in Nummer 1 genannten Gründen zum Schutz der Allgemeinheit erforderlich ist.</w:t>
      </w:r>
    </w:p>
    <w:p>
      <w:r>
        <w:t xml:space="preserve">(2) Absatz 1 ist unabhängig davon anzuwenden, ob die verurteilte Person sich noch im Vollzug der Sicherungsverwahrung befindet oder bereits entlassen wurde.</w:t>
      </w:r>
    </w:p>
    <w:p>
      <w:r>
        <w:rPr>
          <w:color w:val="555555"/>
          <w:sz w:val="17"/>
        </w:rPr>
        <w:t xml:space="preserve">Zitiervorschlag: § 1 ThUG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https://recht.nulegal.eu/gesetze/ThUG/1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