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4 TfV — (zu § 5 Absatz 1 Satz 1 Nummer 3 und 4, § 11 Absatz 3 Satz 3 und 4, § 12 Absatz 5, §§ 16 bis 16b) Medizinische und psychologische Anforderungen</w:t>
      </w:r>
    </w:p>
    <w:p>
      <w:r>
        <w:rPr>
          <w:color w:val="555555"/>
          <w:sz w:val="18"/>
        </w:rPr>
        <w:t xml:space="preserve">Triebfahrzeugführerscheinverordnung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(Fundstelle: BGBl. I 2011, 721 - 722; bzgl. der einzelnen Änderungen vgl. Fußnote)</w:t>
      </w:r>
    </w:p>
    <w:p>
      <w:pPr>
        <w:ind w:left="420"/>
      </w:pPr>
      <w:r>
        <w:t xml:space="preserve">1. Allgemeine Anforderungen</w:t>
      </w:r>
    </w:p>
    <w:p>
      <w:pPr>
        <w:ind w:left="780"/>
      </w:pPr>
      <w:r>
        <w:t xml:space="preserve">1.1 Ein Triebfahrzeugführer darf nicht unter gesundheitlichen Störungen leiden oder Arzneimittel oder Stoffe nehmen, die insbesondere Folgendes auslösen können:</w:t>
      </w:r>
    </w:p>
    <w:p>
      <w:pPr>
        <w:ind w:left="1140"/>
      </w:pPr>
      <w:r>
        <w:t xml:space="preserve">a) plötzliche Bewusstlosigkeit;</w:t>
      </w:r>
    </w:p>
    <w:p>
      <w:pPr>
        <w:ind w:left="1140"/>
      </w:pPr>
      <w:r>
        <w:t xml:space="preserve">b) Verminderung der Aufmerksamkeit oder der Konzentration;</w:t>
      </w:r>
    </w:p>
    <w:p>
      <w:pPr>
        <w:ind w:left="1140"/>
      </w:pPr>
      <w:r>
        <w:t xml:space="preserve">c) plötzliche Handlungsunfähigkeit;</w:t>
      </w:r>
    </w:p>
    <w:p>
      <w:pPr>
        <w:ind w:left="1140"/>
      </w:pPr>
      <w:r>
        <w:t xml:space="preserve">d) Verlust des Gleichgewichts oder der Koordination;</w:t>
      </w:r>
    </w:p>
    <w:p>
      <w:pPr>
        <w:ind w:left="1140"/>
      </w:pPr>
      <w:r>
        <w:t xml:space="preserve">e) erhebliche Einschränkung der Mobilität.</w:t>
      </w:r>
    </w:p>
    <w:p>
      <w:pPr>
        <w:ind w:left="780"/>
      </w:pPr>
      <w:r>
        <w:t xml:space="preserve">1.2 Sehvermögen Folgende Anforderungen an das Sehvermögen müssen erfüllt sein:</w:t>
      </w:r>
    </w:p>
    <w:p>
      <w:pPr>
        <w:ind w:left="1140"/>
      </w:pPr>
      <w:r>
        <w:t xml:space="preserve">a) Fern-Sehschärfe mit oder ohne Sehhilfe: 1,0; mindestens 0,5 für das schlechtere Auge;</w:t>
      </w:r>
    </w:p>
    <w:p>
      <w:pPr>
        <w:ind w:left="1140"/>
      </w:pPr>
      <w:r>
        <w:t xml:space="preserve">b) maximale Korrektur-Linsenstärke: Hyperopie +5 / Myopie –8; Abweichungen sind in Ausnahmefällen zulässig; eine Entscheidung erfolgt durch die zuständige Behörde im Rahmen der Erteilung des Triebfahrzeugführerscheins nach Einholung einer Stellungnahme eines Augenarztes;</w:t>
      </w:r>
    </w:p>
    <w:p>
      <w:pPr>
        <w:ind w:left="1140"/>
      </w:pPr>
      <w:r>
        <w:t xml:space="preserve">c) Sehvermögen nahe und mittlere Entfernung: ausreichend, mit oder ohne Sehhilfe;</w:t>
      </w:r>
    </w:p>
    <w:p>
      <w:pPr>
        <w:ind w:left="1140"/>
      </w:pPr>
      <w:r>
        <w:t xml:space="preserve">d) Kontaktlinsen und Brillen sind zulässig, sofern das Sehvermögen regelmäßig von einem Augenarzt überprüft wird;</w:t>
      </w:r>
    </w:p>
    <w:p>
      <w:pPr>
        <w:ind w:left="1140"/>
      </w:pPr>
      <w:r>
        <w:t xml:space="preserve">e) normale Farbwahrnehmung: Verwendung eines anerkannten Tests wie des Ishihara-Tests;</w:t>
      </w:r>
    </w:p>
    <w:p>
      <w:pPr>
        <w:ind w:left="1140"/>
      </w:pPr>
      <w:r>
        <w:t xml:space="preserve">f) Sichtfeld: vollständig;</w:t>
      </w:r>
    </w:p>
    <w:p>
      <w:pPr>
        <w:ind w:left="1140"/>
      </w:pPr>
      <w:r>
        <w:t xml:space="preserve">g) Sehvermögen beider Augen: effektiv;</w:t>
      </w:r>
    </w:p>
    <w:p>
      <w:pPr>
        <w:ind w:left="1140"/>
      </w:pPr>
      <w:r>
        <w:t xml:space="preserve">h) binokulares Sehvermögen: effektiv;</w:t>
      </w:r>
    </w:p>
    <w:p>
      <w:pPr>
        <w:ind w:left="1140"/>
      </w:pPr>
      <w:r>
        <w:t xml:space="preserve">i) Erkennen farbiger Signale: die Prüfung erfolgt auf der Grundlage der Erkennung einzelner Farben, nicht auf der Grundlage relativer Unterschiede;</w:t>
      </w:r>
    </w:p>
    <w:p>
      <w:pPr>
        <w:ind w:left="1140"/>
      </w:pPr>
      <w:r>
        <w:t xml:space="preserve">j) Kontrastempfindlichkeit: gut;</w:t>
      </w:r>
    </w:p>
    <w:p>
      <w:pPr>
        <w:ind w:left="1140"/>
      </w:pPr>
      <w:r>
        <w:t xml:space="preserve">k) keine fortschreitenden Augenkrankheiten;</w:t>
      </w:r>
    </w:p>
    <w:p>
      <w:pPr>
        <w:ind w:left="1140"/>
      </w:pPr>
      <w:r>
        <w:t xml:space="preserve">l) Linsenimplantate, Keratotomien und Keratektomien sind nur zulässig, wenn sie jährlich oder in vom Arzt festgelegten regelmäßigen Abständen überprüft werden;</w:t>
      </w:r>
    </w:p>
    <w:p>
      <w:pPr>
        <w:ind w:left="1140"/>
      </w:pPr>
      <w:r>
        <w:t xml:space="preserve">m) keine Überempfindlichkeit gegen Blendung;</w:t>
      </w:r>
    </w:p>
    <w:p>
      <w:pPr>
        <w:ind w:left="1140"/>
      </w:pPr>
      <w:r>
        <w:t xml:space="preserve">n) farbige Kontaktlinsen und fotochromatische Linsen sind nicht zulässig, Linsen mit UV-Filter sind zulässig.</w:t>
      </w:r>
    </w:p>
    <w:p>
      <w:pPr>
        <w:ind w:left="780"/>
      </w:pPr>
      <w:r>
        <w:t xml:space="preserve">1.3 Anforderungen an das Hör- und Sprachvermögen Ausreichendes, durch ein Audiogramm nachgewiesenes Hörvermögen für ein Telefongespräch und die Fähigkeit, akustische Warnsignale und Funkmeldungen zu hören. Dafür gelten folgende Richtwerte:</w:t>
      </w:r>
    </w:p>
    <w:p>
      <w:pPr>
        <w:ind w:left="1140"/>
      </w:pPr>
      <w:r>
        <w:t xml:space="preserve">a) Es darf kein Hördefizit von über 40 dB bei 500 und 1 000 Hz vorliegen;</w:t>
      </w:r>
    </w:p>
    <w:p>
      <w:pPr>
        <w:ind w:left="1140"/>
      </w:pPr>
      <w:r>
        <w:t xml:space="preserve">b) es darf kein Hördefizit von über 45 dB bei 2 000 Hz bei dem Ohr, das die schlechtere Schallleitung aufweist, vorliegen;</w:t>
      </w:r>
    </w:p>
    <w:p>
      <w:pPr>
        <w:ind w:left="1140"/>
      </w:pPr>
      <w:r>
        <w:t xml:space="preserve">c) keine Anomalie des Vestibularapparats;</w:t>
      </w:r>
    </w:p>
    <w:p>
      <w:pPr>
        <w:ind w:left="1140"/>
      </w:pPr>
      <w:r>
        <w:t xml:space="preserve">d) die Verwendung von Hörhilfen ist in bestimmten Fällen zulässig.</w:t>
      </w:r>
    </w:p>
    <w:p>
      <w:pPr>
        <w:ind w:left="780"/>
      </w:pPr>
      <w:r>
        <w:t xml:space="preserve">Es darf keine chronische Sprachstörung vorliegen aufgrund der Notwendigkeit, Mitteilungen laut und deutlich auszutauschen.</w:t>
      </w:r>
    </w:p>
    <w:p>
      <w:pPr>
        <w:ind w:left="420"/>
      </w:pPr>
      <w:r>
        <w:t xml:space="preserve">2. Mindestinhalt der Einstellungsuntersuchung</w:t>
      </w:r>
    </w:p>
    <w:p>
      <w:pPr>
        <w:ind w:left="780"/>
      </w:pPr>
      <w:r>
        <w:t xml:space="preserve">2.1 Ärztliche Untersuchungen</w:t>
      </w:r>
    </w:p>
    <w:p>
      <w:pPr>
        <w:ind w:left="1140"/>
      </w:pPr>
      <w:r>
        <w:t xml:space="preserve">a) allgemeine ärztliche Untersuchung, die auch die Prüfung der Anforderungen des Unterabschnittes 1.1 umfasst;</w:t>
      </w:r>
    </w:p>
    <w:p>
      <w:pPr>
        <w:ind w:left="1140"/>
      </w:pPr>
      <w:r>
        <w:t xml:space="preserve">b) Untersuchung der sensorischen Funktionen (Sehvermögen und Hörvermögen) und des Sprachvermögens, die die Prüfung der Anforderungen der Unterabschnitte 1.2 und 1.3 umfasst;</w:t>
      </w:r>
    </w:p>
    <w:p>
      <w:pPr>
        <w:ind w:left="1140"/>
      </w:pPr>
      <w:r>
        <w:t xml:space="preserve">c) Blut- oder Urinanalysen, um unter anderem eine eventuelle Zuckerkrankheit festzustellen, soweit sie zur Beurteilung der körperlichen Eignung des Bewerbers erforderlich sind;</w:t>
      </w:r>
    </w:p>
    <w:p>
      <w:pPr>
        <w:ind w:left="1140"/>
      </w:pPr>
      <w:r>
        <w:t xml:space="preserve">d) Ruhe-Elektrokardiogramm (EKG);</w:t>
      </w:r>
    </w:p>
    <w:p>
      <w:pPr>
        <w:ind w:left="1140"/>
      </w:pPr>
      <w:r>
        <w:t xml:space="preserve">e) Untersuchung auf psychotrope Stoffe wie beispielsweise verbotene Drogen oder psychotrope Arzneimittel sowie auf Alkoholmissbrauch, die die berufliche Eignung in Frage stellen.</w:t>
      </w:r>
    </w:p>
    <w:p>
      <w:pPr>
        <w:ind w:left="780"/>
      </w:pPr>
      <w:r>
        <w:t xml:space="preserve">2.2 Psychologische Untersuchungen</w:t>
      </w:r>
    </w:p>
    <w:p>
      <w:pPr>
        <w:ind w:left="1140"/>
      </w:pPr>
      <w:r>
        <w:t xml:space="preserve">a) kognitive Fähigkeiten: Aufmerksamkeit und Konzentration, Gedächtnis, Wahrnehmungsfähigkeit, Urteilsvermögen;</w:t>
      </w:r>
    </w:p>
    <w:p>
      <w:pPr>
        <w:ind w:left="1140"/>
      </w:pPr>
      <w:r>
        <w:t xml:space="preserve">b) Kommunikation;</w:t>
      </w:r>
    </w:p>
    <w:p>
      <w:pPr>
        <w:ind w:left="1140"/>
      </w:pPr>
      <w:r>
        <w:t xml:space="preserve">c) psychomotorische Fähigkeiten: Reaktionsgeschwindigkeit, Koordination der Hände;</w:t>
      </w:r>
    </w:p>
    <w:p>
      <w:pPr>
        <w:ind w:left="1140"/>
      </w:pPr>
      <w:r>
        <w:t xml:space="preserve">d) tätigkeitsrelevante Persönlichkeits- und Einstellungsfaktoren.</w:t>
      </w:r>
    </w:p>
    <w:p>
      <w:pPr>
        <w:ind w:left="420"/>
      </w:pPr>
      <w:r>
        <w:t xml:space="preserve">3. Mindestinhalt der regelmäßigen und anlassbezogenen ärztlichen Untersuchungen sowie der anlassbezogenen psychologischen Untersuchungen</w:t>
      </w:r>
    </w:p>
    <w:p>
      <w:pPr>
        <w:ind w:left="780"/>
      </w:pPr>
      <w:r>
        <w:t xml:space="preserve">3.1 Regelmäßige und anlassbezogene ärztliche UntersuchungenErfüllt ein Triebfahrzeugführer die Anforderungen der Einstellungsuntersuchung, so umfassen die regelmäßigen und die anlassbezogenen Untersuchungen mindestens</w:t>
      </w:r>
    </w:p>
    <w:p>
      <w:pPr>
        <w:ind w:left="1140"/>
      </w:pPr>
      <w:r>
        <w:t xml:space="preserve">a) eine allgemeine ärztliche Untersuchung, die auch die Prüfung der Anforderungen des Unterabschnittes 1.1 umfasst;</w:t>
      </w:r>
    </w:p>
    <w:p>
      <w:pPr>
        <w:ind w:left="1140"/>
      </w:pPr>
      <w:r>
        <w:t xml:space="preserve">b) eine Untersuchung der sensorischen Funktionen (Sehvermögen und Hörvermögen) und des Sprachvermögens, die die Prüfung der Anforderungen der Unterabschnitte 1.2 und 1.3 umfasst;</w:t>
      </w:r>
    </w:p>
    <w:p>
      <w:pPr>
        <w:ind w:left="1140"/>
      </w:pPr>
      <w:r>
        <w:t xml:space="preserve">c) eine Blut- oder Urinanalyse zur Feststellung von Diabetes mellitus und anderen Krankheiten entsprechend dem Ergebnis der klinischen Untersuchung;</w:t>
      </w:r>
    </w:p>
    <w:p>
      <w:pPr>
        <w:ind w:left="1140"/>
      </w:pPr>
      <w:r>
        <w:t xml:space="preserve">d) eine Untersuchung auf Betäubungsmittel, psychotrope Arzneimittel und Alkoholmissbrauch, sofern jeweils klinisch angezeigt.</w:t>
      </w:r>
    </w:p>
    <w:p>
      <w:pPr>
        <w:ind w:left="420"/>
      </w:pPr>
      <w:r>
        <w:t xml:space="preserve">Ferner muss bei Triebfahrzeugführern, die älter als 40 Jahre sind, ein Ruhe-EKG durchgeführt werden.</w:t>
      </w:r>
    </w:p>
    <w:p>
      <w:pPr>
        <w:ind w:left="780"/>
      </w:pPr>
      <w:r>
        <w:t xml:space="preserve">3.2 Anlassbezogene psychologische UntersuchungenErfüllt ein Triebfahrzeugführer die Anforderungen der Einstellungsuntersuchung, so umfassen die anlassbezogenen Untersuchungen folgende Bereiche:</w:t>
      </w:r>
    </w:p>
    <w:p>
      <w:pPr>
        <w:ind w:left="1140"/>
      </w:pPr>
      <w:r>
        <w:t xml:space="preserve">a) kognitive Fähigkeiten: Aufmerksamkeit und Konzentration, Gedächtnis, Wahrnehmungsfähigkeit, Urteilsvermögen;</w:t>
      </w:r>
    </w:p>
    <w:p>
      <w:pPr>
        <w:ind w:left="1140"/>
      </w:pPr>
      <w:r>
        <w:t xml:space="preserve">b) Kommunikation;</w:t>
      </w:r>
    </w:p>
    <w:p>
      <w:pPr>
        <w:ind w:left="1140"/>
      </w:pPr>
      <w:r>
        <w:t xml:space="preserve">c) psychomotorische Fähigkeiten: Reaktionsgeschwindigkeit, Koordination der Hände;</w:t>
      </w:r>
    </w:p>
    <w:p>
      <w:pPr>
        <w:ind w:left="1140"/>
      </w:pPr>
      <w:r>
        <w:t xml:space="preserve">d) tätigkeitsrelevante Persönlichkeits- und Einstellungsfaktoren.</w:t>
      </w:r>
    </w:p>
    <w:p>
      <w:r>
        <w:rPr>
          <w:color w:val="555555"/>
          <w:sz w:val="17"/>
        </w:rPr>
        <w:t xml:space="preserve">Zitiervorschlag: Anlage 4 TfV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https://recht.nulegal.eu/gesetze/TfV/anlage-4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