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11 TfV — (zu § 11 Absatz 1 Satz 2 und Absatz 4 Satz 2) Häufigkeit der regelmäßigen Untersuchungen und Überprüfungen</w:t>
      </w:r>
    </w:p>
    <w:p>
      <w:r>
        <w:rPr>
          <w:color w:val="555555"/>
          <w:sz w:val="18"/>
        </w:rPr>
        <w:t xml:space="preserve">Triebfahrzeugführerscheinverordnung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(Fundstelle: BGBl. I 2011, 737; bzgl. der einzelnen Änderungen vgl. Fußnote)</w:t>
      </w:r>
    </w:p>
    <w:p>
      <w:pPr>
        <w:ind w:left="420"/>
      </w:pPr>
      <w:r>
        <w:t xml:space="preserve">1. Häufigkeit der regelmäßigen ärztlichen Untersuchungen Die ärztliche Untersuchung wird bis zum Alter von 55 Jahren alle drei Jahre durchgeführt, danach jährlich.Abweichend von Satz 1 erhöht der nach § 16 anerkannte Arzt die Häufigkeit der Untersuchungen, wenn der Gesundheitszustand des Triebfahrzeugführers es erfordert.Der Arbeitgeber muss den nach § 16 anerkannten Arzt auffordern, die körperliche Eignung des Triebfahrzeugführers zu überprüfen, wenn er den Triebfahrzeugführer aus Sicherheitsgründen vom Dienst entbinden musste.</w:t>
      </w:r>
    </w:p>
    <w:p>
      <w:pPr>
        <w:ind w:left="420"/>
      </w:pPr>
      <w:r>
        <w:t xml:space="preserve">2. Häufigkeit der regelmäßigen Überprüfungen der allgemeinen Fachkenntnisse Bei regelmäßigen Überprüfungen der allgemeinen Fachkenntnisse ist folgende Mindesthäufigkeit einzuhalten: alle drei Jahre.</w:t>
      </w:r>
    </w:p>
    <w:p>
      <w:pPr>
        <w:ind w:left="420"/>
      </w:pPr>
      <w:r>
        <w:t xml:space="preserve">3. Häufigkeit der regelmäßigen Überprüfungen zur Aufrechterhaltung der Gültigkeit der Zusatzbescheinigung Bei regelmäßigen Überprüfungen ist folgende Mindesthäufigkeit einzuhalten:</w:t>
      </w:r>
    </w:p>
    <w:p>
      <w:pPr>
        <w:ind w:left="780"/>
      </w:pPr>
      <w:r>
        <w:t xml:space="preserve">a) Sprachkenntnisse: alle drei Jahre oder nach jeder Abwesenheit von mehr als einem Jahr;</w:t>
      </w:r>
    </w:p>
    <w:p>
      <w:pPr>
        <w:ind w:left="780"/>
      </w:pPr>
      <w:r>
        <w:t xml:space="preserve">b) infrastrukturbezogene Fachkenntnisse einschließlich der Kenntnisse von Betriebsverfahren, Zugbeeinflussungssystemen und Signalsystemen: alle drei Jahre und immer dann, wenn eine bestimmte Strecke länger als ein Jahr nicht befahren worden ist;</w:t>
      </w:r>
    </w:p>
    <w:p>
      <w:pPr>
        <w:ind w:left="780"/>
      </w:pPr>
      <w:r>
        <w:t xml:space="preserve">c) fahrzeugbezogene Fachkenntnisse: alle drei Jahre.</w:t>
      </w:r>
    </w:p>
    <w:p>
      <w:r>
        <w:rPr>
          <w:color w:val="555555"/>
          <w:sz w:val="17"/>
        </w:rPr>
        <w:t xml:space="preserve">Zitiervorschlag: Anlage 11 TfV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https://recht.nulegal.eu/gesetze/TfV/anlage-11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