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TfV — Ausbildung</w:t>
      </w:r>
    </w:p>
    <w:p>
      <w:r>
        <w:rPr>
          <w:color w:val="555555"/>
          <w:sz w:val="18"/>
        </w:rPr>
        <w:t xml:space="preserve">Triebfahrzeugführerscheinverordnung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Ausbildung von Triebfahrzeugführern umfasst die Fertigkeiten und Kenntnisse nach den Anlagen 5, 6 und 7.</w:t>
      </w:r>
    </w:p>
    <w:p>
      <w:r>
        <w:t xml:space="preserve">(2) Die einzelnen Ausbildungsinhalte werden durch die einschlägigen Technischen Spezifikationen für die Interoperabilität ergänzt.</w:t>
      </w:r>
    </w:p>
    <w:p>
      <w:r>
        <w:t xml:space="preserve">(3) Die Ausbildungsmethode muss die Anforderungen der Anlage 8 erfüllen. In der praktischen Ausbildung für den erstmaligen Erwerb der Zusatzbescheinigung Klasse B kommt ein Simulator nach den Anforderungen der Anlage 8 zum Einsatz. In den übrigen Fällen der praktischen Ausbildung sollen Simulatoren zum Einsatz kommen.</w:t>
      </w:r>
    </w:p>
    <w:p>
      <w:r>
        <w:t xml:space="preserve">(4) Die Ausbildung erfolgt durch eine anerkannte Person oder eine anerkannte Stelle. Die Ausbildung kann auch durch eine Eisenbahn erfolgen, der eine Sicherheitsbescheinigung nach § 7a des Allgemeinen Eisenbahngesetzes oder eine Sicherheitsgenehmigung nach § 7c des Allgemeinen Eisenbahngesetzes erteilt worden ist. Im Fall des Satzes 2 gilt die Anerkennung nur für die Ausbildung des Personals, das die Eisenbahn verantwortlich einsetzt.</w:t>
      </w:r>
    </w:p>
    <w:p>
      <w:r>
        <w:t xml:space="preserve">(5) Bei Triebfahrzeugführern, die Staatsangehörige eines Mitgliedstaates der Europäischen Union sind und ihren Ausbildungsnachweis in einem Drittland erworben haben, gilt die durch die Richtlinie 2005/36/EG des Europäischen Parlaments und des Rates vom 7. September 2005 über die Anerkennung von Berufsqualifikationen (ABl. L 255 vom 30.9.2005, S. 22; L 271 vom 16.10.2007, S. 18; L 93 vom 4.4.2008, S. 28; L 33 vom 3.2.2009, S. 49; L 305 vom 24.10.2014, S. 115), die zuletzt durch den Delegierten Beschluss (EU) 2021/2183 (ABl. L 444 vom 10.12.2021, S. 16) geändert worden ist, festgelegte allgemeine Regelung zur Anerkennung beruflicher Befähigungsnachweise.</w:t>
      </w:r>
    </w:p>
    <w:p>
      <w:r>
        <w:t xml:space="preserve">(6) Der Unternehmer richtet ein Verfahren der ständigen Weiterbildung entsprechend Artikel 9 Absatz 3 Satz 1 Buchstabe f der Richtlinie (EU) 2016/798 im Rahmen seines Sicherheitsmanagementsystems ein, um sicherzustellen, dass die Befähigung des Personals aufrechterhalten wird.</w:t>
      </w:r>
    </w:p>
    <w:p>
      <w:r>
        <w:rPr>
          <w:color w:val="555555"/>
          <w:sz w:val="17"/>
        </w:rPr>
        <w:t xml:space="preserve">Zitiervorschlag: § 6 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