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TfV — Fahrberechtigung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Wer ein Triebfahrzeug eigenständig führt, bedarf der Fahrberechtigung. Sie ist durch</w:t>
      </w:r>
    </w:p>
    <w:p>
      <w:pPr>
        <w:ind w:left="420"/>
      </w:pPr>
      <w:r>
        <w:t xml:space="preserve">1. einen Triebfahrzeugführerschein nach Anlage 1, der die persönlichen Daten des Triebfahrzeugführers, die ausstellende Behörde und die Gültigkeitsdauer enthält, und</w:t>
      </w:r>
    </w:p>
    <w:p>
      <w:pPr>
        <w:ind w:left="420"/>
      </w:pPr>
      <w:r>
        <w:t xml:space="preserve">2. eine Zusatzbescheinigung nach Anlage 2, in der festgelegt ist, mit welchen Betriebsverfahren, Zugbeeinflussungssystemen und Signalsystemen der Triebfahrzeugführer auf öffentlichen Schienenwegen (Infrastrukturen) welche Fahrzeuge führen darf,</w:t>
      </w:r>
    </w:p>
    <w:p>
      <w:r>
        <w:t xml:space="preserve">nachzuweisen.</w:t>
      </w:r>
    </w:p>
    <w:p>
      <w:r>
        <w:t xml:space="preserve">(2) Die Zusatzbescheinigung nach Absatz 1 Satz 2 Nummer 2 wird für folgende Klassen erteilt:</w:t>
      </w:r>
    </w:p>
    <w:p>
      <w:pPr>
        <w:ind w:left="420"/>
      </w:pPr>
      <w:r>
        <w:t xml:space="preserve">1. Klasse A: Rangierfahrten und</w:t>
      </w:r>
    </w:p>
    <w:p>
      <w:pPr>
        <w:ind w:left="420"/>
      </w:pPr>
      <w:r>
        <w:t xml:space="preserve">2. Klasse B: Zugfahrten im Personen- und Güterverkehr.</w:t>
      </w:r>
    </w:p>
    <w:p>
      <w:r>
        <w:t xml:space="preserve">(3) Ein Triebfahrzeugführer darf abweichend von Absatz 1 Satz 2 Nummer 2 Triebfahrzeuge führen und Infrastrukturen befahren, wenn er den Zug unter Aufsicht und nach Weisung eines Triebfahrzeugführers führt, der die erforderliche Zusatzbescheinigung besitzt, und</w:t>
      </w:r>
    </w:p>
    <w:p>
      <w:pPr>
        <w:ind w:left="420"/>
      </w:pPr>
      <w:r>
        <w:t xml:space="preserve">1. es sich um eine vom Eisenbahninfrastrukturunternehmen festgelegte Umleitung von Zügen auf Grund von Bau- und Instandhaltungsarbeiten an der Infrastruktur oder auf Grund von Betriebsstörungen handelt;</w:t>
      </w:r>
    </w:p>
    <w:p>
      <w:pPr>
        <w:ind w:left="420"/>
      </w:pPr>
      <w:r>
        <w:t xml:space="preserve">2. ein Ersatztriebfahrzeug nach einem unterwegs aufgetretenen Schaden an dem ursprünglich eingesetzten Triebfahrzeug gestellt wird;</w:t>
      </w:r>
    </w:p>
    <w:p>
      <w:pPr>
        <w:ind w:left="420"/>
      </w:pPr>
      <w:r>
        <w:t xml:space="preserve">3. es sich um Sonderfahrten mit Fahrzeugen, die ausschließlich für historische Zwecke genutzt werden, handelt oder</w:t>
      </w:r>
    </w:p>
    <w:p>
      <w:pPr>
        <w:ind w:left="420"/>
      </w:pPr>
      <w:r>
        <w:t xml:space="preserve">4. ein neues Triebfahrzeug ausgeliefert oder vorgeführt wird.</w:t>
      </w:r>
    </w:p>
    <w:p>
      <w:r>
        <w:t xml:space="preserve">Der Unternehmer entscheidet, ob ein Triebfahrzeugführer nach Satz 1 im Einzelfall ein Triebfahrzeug führen soll.</w:t>
      </w:r>
    </w:p>
    <w:p>
      <w:r>
        <w:t xml:space="preserve">(4) Der Triebfahrzeugführerschein und die Zusatzbescheinigung sind beim Führen von Triebfahrzeugen mitzuführen und berechtigten Personen auf Verlangen zur Prüfung auszuhändigen.</w:t>
      </w:r>
    </w:p>
    <w:p>
      <w:r>
        <w:rPr>
          <w:color w:val="555555"/>
          <w:sz w:val="17"/>
        </w:rPr>
        <w:t xml:space="preserve">Zitiervorschlag: § 3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