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TfV — Ordnungswidrigkeiten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06.06.2024 (konsolidierte Textfassung, kein amtliches Inkrafttretensdatum)</w:t>
      </w:r>
    </w:p>
    <w:p>
      <w:r>
        <w:t xml:space="preserve">(1) Ordnungswidrig im Sinne des § 28 Absatz 1 Nummer 6 Buchstabe b des Allgemeinen Eisenbahngesetzes handelt, wer vorsätzlich oder fahrlässig ohne Anerkennung nach § 14 Absatz 1, auch in Verbindung mit § 14d Satz 2, eine dort genannte Person ausbildet.</w:t>
      </w:r>
    </w:p>
    <w:p>
      <w:r>
        <w:t xml:space="preserve">(2) Ordnungswidrig im Sinne des § 28 Absatz 1 Nummer 6 Buchstabe c des Allgemeinen Eisenbahngesetzes handelt, wer vorsätzlich oder fahrlässig</w:t>
      </w:r>
    </w:p>
    <w:p>
      <w:pPr>
        <w:ind w:left="420"/>
      </w:pPr>
      <w:r>
        <w:t xml:space="preserve">1. ohne Fahrberechtigung nach § 3 Absatz 1 Satz 1 ein Triebfahrzeug führt,</w:t>
      </w:r>
    </w:p>
    <w:p>
      <w:pPr>
        <w:ind w:left="420"/>
      </w:pPr>
      <w:r>
        <w:t xml:space="preserve">2. entgegen § 5 Absatz 2 Satz 1 eine Zusatzbescheinigung ausstellt,</w:t>
      </w:r>
    </w:p>
    <w:p>
      <w:pPr>
        <w:ind w:left="420"/>
      </w:pPr>
      <w:r>
        <w:t xml:space="preserve">3. entgegen § 9 Absatz 4 eine Zusatzbescheinigung nicht oder nicht rechtzeitig ändert,</w:t>
      </w:r>
    </w:p>
    <w:p>
      <w:pPr>
        <w:ind w:left="420"/>
      </w:pPr>
      <w:r>
        <w:t xml:space="preserve">4. entgegen § 10 Absatz 4 Satz 1 ein Register nicht, nicht richtig oder nicht vollständig führt und nicht dafür sorgt, dass ein Register geführt wird,</w:t>
      </w:r>
    </w:p>
    <w:p>
      <w:pPr>
        <w:ind w:left="420"/>
      </w:pPr>
      <w:r>
        <w:t xml:space="preserve">5. entgegen § 10 Absatz 6 eine Auskunft nicht, nicht richtig, nicht vollständig oder nicht rechtzeitig erteilt,</w:t>
      </w:r>
    </w:p>
    <w:p>
      <w:pPr>
        <w:ind w:left="420"/>
      </w:pPr>
      <w:r>
        <w:t xml:space="preserve">6. entgegen § 11 Absatz 1 Satz 1 oder Absatz 4 Satz 1 nicht sicherstellt, dass sich ein Triebfahrzeugführer einer dort genannten Überprüfung oder Untersuchung unterzieht,</w:t>
      </w:r>
    </w:p>
    <w:p>
      <w:pPr>
        <w:ind w:left="420"/>
      </w:pPr>
      <w:r>
        <w:t xml:space="preserve">7. entgegen § 11 Absatz 6 eine Mitteilung nicht, nicht richtig, nicht vollständig oder nicht rechtzeitig macht,</w:t>
      </w:r>
    </w:p>
    <w:p>
      <w:pPr>
        <w:ind w:left="420"/>
      </w:pPr>
      <w:r>
        <w:t xml:space="preserve">8. entgegen § 12 Absatz 1 einen Triebfahrzeugführer einsetzt,</w:t>
      </w:r>
    </w:p>
    <w:p>
      <w:pPr>
        <w:ind w:left="420"/>
      </w:pPr>
      <w:r>
        <w:t xml:space="preserve">9. entgegen § 12 Absatz 4 eine Unterrichtung nicht oder nicht rechtzeitig vornimmt,</w:t>
      </w:r>
    </w:p>
    <w:p>
      <w:pPr>
        <w:ind w:left="420"/>
      </w:pPr>
      <w:r>
        <w:t xml:space="preserve">10. entgegen § 12 Absatz 5 Satz 1 eine Untersuchung nicht oder nicht rechtzeitig anordnet,</w:t>
      </w:r>
    </w:p>
    <w:p>
      <w:pPr>
        <w:ind w:left="420"/>
      </w:pPr>
      <w:r>
        <w:t xml:space="preserve">11. entgegen § 13 Absatz 1 die zuständige Behörde nicht oder nicht rechtzeitig in Kenntnis setzt,</w:t>
      </w:r>
    </w:p>
    <w:p>
      <w:pPr>
        <w:ind w:left="420"/>
      </w:pPr>
      <w:r>
        <w:t xml:space="preserve">12. ohne Anerkennung nach § 15 Absatz 1 einen Triebfahrzeugführer prüft,</w:t>
      </w:r>
    </w:p>
    <w:p>
      <w:pPr>
        <w:ind w:left="420"/>
      </w:pPr>
      <w:r>
        <w:t xml:space="preserve">13. ohne Anerkennung nach § 16 Absatz 1 eine dort genannte Untersuchung durchführt,</w:t>
      </w:r>
    </w:p>
    <w:p>
      <w:pPr>
        <w:ind w:left="420"/>
      </w:pPr>
      <w:r>
        <w:t xml:space="preserve">14. entgegen § 17 Absatz 6 eine dort genannte Information nicht oder nicht rechtzeitig gibt oder</w:t>
      </w:r>
    </w:p>
    <w:p>
      <w:pPr>
        <w:ind w:left="420"/>
      </w:pPr>
      <w:r>
        <w:t xml:space="preserve">15. einer vollziehbaren Anordnung nach § 19b Absatz 3 oder § 19c Absatz 1 Satz 3 oder Absatz 2 Satz 1 zweiter Halbsatz zuwiderhandelt.</w:t>
      </w:r>
    </w:p>
    <w:p>
      <w:r>
        <w:rPr>
          <w:color w:val="555555"/>
          <w:sz w:val="17"/>
        </w:rPr>
        <w:t xml:space="preserve">Zitiervorschlag: § 20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