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TfV — Gemeinsame Bestimmungen für die Anerkennung von Personen und Stellen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zuständige Behörde führt ein Register der von ihr nach den §§ 14, 14d, 15 und 16 anerkannten Personen und Stellen. Das Register muss die folgenden Angaben enthalten:</w:t>
      </w:r>
    </w:p>
    <w:p>
      <w:pPr>
        <w:ind w:left="420"/>
      </w:pPr>
      <w:r>
        <w:t xml:space="preserve">1. Name und Anschrift sowie</w:t>
      </w:r>
    </w:p>
    <w:p>
      <w:pPr>
        <w:ind w:left="420"/>
      </w:pPr>
      <w:r>
        <w:t xml:space="preserve">2. die Teilbereiche und gegebenenfalls die Sprachen, auf die sich die Anerkennung erstreckt.</w:t>
      </w:r>
    </w:p>
    <w:p>
      <w:r>
        <w:t xml:space="preserve">(2) Die zuständige Behörde veröffentlicht auf ihrer Internetseite das Register nach Absatz 1. Personenbezogene Daten werden nur veröffentlicht, wenn eine entsprechende Einwilligung vorliegt.</w:t>
      </w:r>
    </w:p>
    <w:p>
      <w:r>
        <w:t xml:space="preserve">(3) Die Anerkennung nach den §§ 14, 14d und 16 ist zu widerrufen, wenn die Anerkennungsvoraussetzungen nicht mehr vorliegen. Die Anerkennung nach § 15 ist zu widerrufen, wenn</w:t>
      </w:r>
    </w:p>
    <w:p>
      <w:pPr>
        <w:ind w:left="420"/>
      </w:pPr>
      <w:r>
        <w:t xml:space="preserve">1. die Anerkennungsvoraussetzungen nicht mehr vorliegen oder</w:t>
      </w:r>
    </w:p>
    <w:p>
      <w:pPr>
        <w:ind w:left="420"/>
      </w:pPr>
      <w:r>
        <w:t xml:space="preserve">2. die Unabhängigkeit oder die Unparteilichkeit nicht oder nicht mehr vorliegt.</w:t>
      </w:r>
    </w:p>
    <w:p>
      <w:r>
        <w:t xml:space="preserve">(4) Die Anerkennung nach den §§ 14, 14d, 15 und 16 kann widerrufen werden, wenn die anerkannte Person oder die anerkannte Stelle gegen eine der folgenden Vorschriften verstoßen hat:</w:t>
      </w:r>
    </w:p>
    <w:p>
      <w:pPr>
        <w:ind w:left="420"/>
      </w:pPr>
      <w:r>
        <w:t xml:space="preserve">1. § 6 oder § 7 oder</w:t>
      </w:r>
    </w:p>
    <w:p>
      <w:pPr>
        <w:ind w:left="420"/>
      </w:pPr>
      <w:r>
        <w:t xml:space="preserve">2. § 3, § 5, § 7, § 9, § 10, § 14, § 17, § 18 oder § 22 der Triebfahrzeugführerschein-Prüfungsverordnung.</w:t>
      </w:r>
    </w:p>
    <w:p>
      <w:r>
        <w:t xml:space="preserve">(5) Die Rücknahme und der Widerruf der Anerkennung nach den §§ 48 und 49 des Verwaltungsverfahrensgesetzes bleiben neben den Absätzen 3 und 4 anwendbar.</w:t>
      </w:r>
    </w:p>
    <w:p>
      <w:r>
        <w:t xml:space="preserve">(6) Die anerkannte Person und die anerkannte Stelle haben die zuständige Behörde unverzüglich über den Wegfall von Anerkennungsvoraussetzungen zu informieren.</w:t>
      </w:r>
    </w:p>
    <w:p>
      <w:r>
        <w:rPr>
          <w:color w:val="555555"/>
          <w:sz w:val="17"/>
        </w:rPr>
        <w:t xml:space="preserve">Zitiervorschlag: § 17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