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16b TfV — Befristung und Verlängerung der Anerkennung als Arzt oder Psychologe oder als zuständige Stelle für die Durchführung von Untersuchungen nach Anlage 4 Unterabschnitt 2.1, 2.2, 3.1 oder 3.2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Anerkennung als Arzt oder Psychologe oder als zuständige Stelle für die Durchführung von Untersuchungen nach Anlage 4 Unterabschnitt 2.1, 2.2, 3.1 oder 3.2 gilt längstens für fünf Jahre.</w:t>
      </w:r>
    </w:p>
    <w:p>
      <w:r>
        <w:t xml:space="preserve">(2) Die zuständige Behörde verlängert die Anerkennung auf Antrag jeweils um längstens fünf Jahre, wenn der Antragsteller nachweist, dass er die Voraussetzungen nach § 16 Absatz 2, 3 oder 4 weiterhin erfüllt.</w:t>
      </w:r>
    </w:p>
    <w:p>
      <w:r>
        <w:rPr>
          <w:color w:val="555555"/>
          <w:sz w:val="17"/>
        </w:rPr>
        <w:t xml:space="preserve">Zitiervorschlag: § 16b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