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TfV — Voraussetzungen für die Anerkennung als Arzt oder Psychologe oder als zuständige Stelle für die Durchführung von Untersuchungen nach Anlage 4 Unterabschnitt 2.1, 2.2, 3.1 oder 3.2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Wer Untersuchungen nach Anlage 4 Unterabschnitt 2.1, 2.2, 3.1 oder 3.2 bei Triebfahrzeugführern durchführen will, bedarf der Anerkennung.</w:t>
      </w:r>
    </w:p>
    <w:p>
      <w:r>
        <w:t xml:space="preserve">(2) Die zuständige Behörde erkennt einen Arzt auf dessen Antrag als Arzt für die Durchführung von Untersuchungen nach Anlage 4 Unterabschnitt 2.1 und 3.1 an, wenn er</w:t>
      </w:r>
    </w:p>
    <w:p>
      <w:pPr>
        <w:ind w:left="420"/>
      </w:pPr>
      <w:r>
        <w:t xml:space="preserve">1. berechtigt ist, die Gebietsbezeichnung „Arbeitsmedizin“ oder die Zusatzbezeichnung „Betriebsmedizin“ zu führen, oder als Arzt in einer Begutachtungsstelle für Fahreignung gemäß § 11 Absatz 2 Satz 3 Nummer 5 der Fahrerlaubnis-Verordnung tätig ist,</w:t>
      </w:r>
    </w:p>
    <w:p>
      <w:pPr>
        <w:ind w:left="420"/>
      </w:pPr>
      <w:r>
        <w:t xml:space="preserve">2. über eine mindestens einjährige Berufserfahrung im Bereich Schienenverkehr innerhalb der letzten drei Jahre vor Antragstellung verfügt,</w:t>
      </w:r>
    </w:p>
    <w:p>
      <w:pPr>
        <w:ind w:left="420"/>
      </w:pPr>
      <w:r>
        <w:t xml:space="preserve">3. zuverlässig ist und</w:t>
      </w:r>
    </w:p>
    <w:p>
      <w:pPr>
        <w:ind w:left="420"/>
      </w:pPr>
      <w:r>
        <w:t xml:space="preserve">4. über ein dem Qualitätsmanagementsystem vergleichbares Verfahren verfügt.</w:t>
      </w:r>
    </w:p>
    <w:p>
      <w:r>
        <w:t xml:space="preserve">(3) Die zuständige Behörde erkennt einen Psychologen auf dessen Antrag als Psychologen für die Durchführung von Untersuchungen nach Anlage 4 Unterabschnitt 2.2 und 3.2 an, wenn er</w:t>
      </w:r>
    </w:p>
    <w:p>
      <w:pPr>
        <w:ind w:left="420"/>
      </w:pPr>
      <w:r>
        <w:t xml:space="preserve">1. einen Abschluss eines Hochschulstudiums als Diplom-Psychologe oder einen gleichwertigen Master-Abschluss in Psychologie nachweist oder über die Anerkennung als „Fachpsychologe für Verkehrspsychologie“ verfügt,</w:t>
      </w:r>
    </w:p>
    <w:p>
      <w:pPr>
        <w:ind w:left="420"/>
      </w:pPr>
      <w:r>
        <w:t xml:space="preserve">2. über eine mindestens einjährige Berufserfahrung im Bereich Schienenverkehr innerhalb der letzten drei Jahre vor Antragstellung verfügt,</w:t>
      </w:r>
    </w:p>
    <w:p>
      <w:pPr>
        <w:ind w:left="420"/>
      </w:pPr>
      <w:r>
        <w:t xml:space="preserve">3. zuverlässig ist und</w:t>
      </w:r>
    </w:p>
    <w:p>
      <w:pPr>
        <w:ind w:left="420"/>
      </w:pPr>
      <w:r>
        <w:t xml:space="preserve">4. über ein dem Qualitätsmanagementsystem vergleichbares Verfahren verfügt.</w:t>
      </w:r>
    </w:p>
    <w:p>
      <w:r>
        <w:t xml:space="preserve">(4) Die zuständige Behörde erkennt eine Stelle auf deren Antrag als zuständige Stelle für die Durchführung von Untersuchungen nach Anlage 4 Unterabschnitt 2.1, 2.2, 3.1 oder 3.2 an, wenn</w:t>
      </w:r>
    </w:p>
    <w:p>
      <w:pPr>
        <w:ind w:left="420"/>
      </w:pPr>
      <w:r>
        <w:t xml:space="preserve">1. für sie Ärzte oder Psychologen tätig sind, die die für sie geltenden Anforderungen nach Absatz 2 Nummer 1 bis 3 oder Absatz 3 Nummer 1 bis 3 erfüllen,</w:t>
      </w:r>
    </w:p>
    <w:p>
      <w:pPr>
        <w:ind w:left="420"/>
      </w:pPr>
      <w:r>
        <w:t xml:space="preserve">2. die zu ihrer gesetzlichen Vertretung berufenen Personen zuverlässig sind und</w:t>
      </w:r>
    </w:p>
    <w:p>
      <w:pPr>
        <w:ind w:left="420"/>
      </w:pPr>
      <w:r>
        <w:t xml:space="preserve">3. sie über ein Qualitätsmanagementsystem verfügt.</w:t>
      </w:r>
    </w:p>
    <w:p>
      <w:r>
        <w:t xml:space="preserve">(5) Wenn sich Inhalte von Rechtsvorschriften zum Triebfahrzeugführerschein ändern, die anerkannte Ärzte und Psychologen betreffen, sind diese auf Verlangen der zuständigen Behörde verpflichtet, an einer von der Behörde organisierten Fortbildung teilzunehmen.</w:t>
      </w:r>
    </w:p>
    <w:p>
      <w:r>
        <w:rPr>
          <w:color w:val="555555"/>
          <w:sz w:val="17"/>
        </w:rPr>
        <w:t xml:space="preserve">Zitiervorschlag: § 16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