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TfPV — (zu den §§ 15, 16 Absatz 1)</w:t>
      </w:r>
    </w:p>
    <w:p>
      <w:r>
        <w:rPr>
          <w:color w:val="555555"/>
          <w:sz w:val="18"/>
        </w:rPr>
        <w:t xml:space="preserve">Triebfahrzeugführerschein-Prüfungsverordnung</w:t>
      </w:r>
    </w:p>
    <w:p>
      <w:r>
        <w:rPr>
          <w:color w:val="555555"/>
          <w:sz w:val="18"/>
        </w:rPr>
        <w:t xml:space="preserve">Stand: 10.06.2019 (konsolidierte Textfassung, kein amtliches Inkrafttretensdatum)</w:t>
      </w:r>
    </w:p>
    <w:p>
      <w:r>
        <w:t xml:space="preserve">(Fundstelle: BGBl. I 2013, 4014)</w:t>
      </w:r>
    </w:p>
    <w:p>
      <w:r>
        <w:rPr>
          <w:rFonts w:ascii="Courier New" w:hAnsi="Courier New"/>
          <w:sz w:val="17"/>
        </w:rPr>
        <w:t xml:space="preserve">1    2    3    4</w:t>
      </w:r>
    </w:p>
    <w:p>
      <w:r>
        <w:rPr>
          <w:rFonts w:ascii="Courier New" w:hAnsi="Courier New"/>
          <w:sz w:val="17"/>
        </w:rPr>
        <w:t xml:space="preserve">Note    Zwischennote als Dezimalnote    Prozentualer Anteil der erreichten Punktzahl an der erreichbaren Punktzahl    Bewertungsmaßstab</w:t>
      </w:r>
    </w:p>
    <w:p>
      <w:r>
        <w:rPr>
          <w:rFonts w:ascii="Courier New" w:hAnsi="Courier New"/>
          <w:sz w:val="17"/>
        </w:rPr>
        <w:t xml:space="preserve">sehr gut    1,0 1,3    100 bis 96,3 unter 96,3 bis 92,6    eine Leistung, die den Anforderungen in besonderem Maße entspricht</w:t>
      </w:r>
    </w:p>
    <w:p>
      <w:r>
        <w:rPr>
          <w:rFonts w:ascii="Courier New" w:hAnsi="Courier New"/>
          <w:sz w:val="17"/>
        </w:rPr>
        <w:t xml:space="preserve">gut    1,7 2,0 2,3    unter 92,6 bis 90,0 unter 90,0 bis 87,5 unter 87,5 bis 85,0    eine Leistung, die den Anforderungen voll entspricht</w:t>
      </w:r>
    </w:p>
    <w:p>
      <w:r>
        <w:rPr>
          <w:rFonts w:ascii="Courier New" w:hAnsi="Courier New"/>
          <w:sz w:val="17"/>
        </w:rPr>
        <w:t xml:space="preserve">befriedigend    2,7 3,0 3,3    unter 85,0 bis 82,6 unter 82,6 bis 80,0 unter 80,0 bis 77,5    eine Leistung, die im Allgemeinen den Anforderungen entspricht</w:t>
      </w:r>
    </w:p>
    <w:p>
      <w:r>
        <w:rPr>
          <w:rFonts w:ascii="Courier New" w:hAnsi="Courier New"/>
          <w:sz w:val="17"/>
        </w:rPr>
        <w:t xml:space="preserve">ausreichend    3,7 4,0    unter 77,5 bis 73,7 unter 73,7 bis 70,0    eine Leistung, die zwar Mängel aufweist, aber im Ganzen den Anforderungen noch entspricht</w:t>
      </w:r>
    </w:p>
    <w:p>
      <w:r>
        <w:rPr>
          <w:rFonts w:ascii="Courier New" w:hAnsi="Courier New"/>
          <w:sz w:val="17"/>
        </w:rPr>
        <w:t xml:space="preserve">mangelhaft    5,0    unter 70,0 bis 35,0    eine Leistung, die den Anforderungen nicht entspricht, jedoch erkennen lässt, dass die notwendigen Grundkenntnisse vorhanden sind und die Mängel in absehbarer Zeit behoben werden können</w:t>
      </w:r>
    </w:p>
    <w:p>
      <w:r>
        <w:rPr>
          <w:rFonts w:ascii="Courier New" w:hAnsi="Courier New"/>
          <w:sz w:val="17"/>
        </w:rPr>
        <w:t xml:space="preserve">ungenügend    6,0    unter 35,0    eine Leistung, die den Anforderungen nicht entspricht und bei der selbst die Grundkenntnisse so lückenhaft sind, dass die Mängel in absehbarer Zeit nicht behoben werden können</w:t>
      </w:r>
    </w:p>
    <w:p>
      <w:r>
        <w:t xml:space="preserve">Andere als die in Spalte 2 aufgeführten Zwischennoten dürfen nicht verwendet werden.</w:t>
      </w:r>
    </w:p>
    <w:p>
      <w:r>
        <w:rPr>
          <w:color w:val="555555"/>
          <w:sz w:val="17"/>
        </w:rPr>
        <w:t xml:space="preserve">Zitiervorschlag: Anlage 2 TfPV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https://recht.nulegal.eu/gesetze/TfPV/anlage-2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