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TextilgestalterMstrV</w:t>
      </w:r>
    </w:p>
    <w:p>
      <w:r>
        <w:rPr>
          <w:color w:val="555555"/>
          <w:sz w:val="18"/>
        </w:rPr>
        <w:t xml:space="preserve">Textilgestaltermeisterverordnung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51a Absatz 2 der Handwerksordnung, der zuletzt durch Artikel 3 Nummer 3 Buchstabe a des Gesetzes vom 11. Juli 2011 (BGBl. I S. 1341) geändert worden ist,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TextilgestalterMstrV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https://recht.nulegal.eu/gesetze/TextilgestalterMstrV/eingangsformel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