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TextilgestalterMstrV — Inkrafttreten</w:t>
      </w:r>
    </w:p>
    <w:p>
      <w:r>
        <w:rPr>
          <w:color w:val="555555"/>
          <w:sz w:val="18"/>
        </w:rPr>
        <w:t xml:space="preserve">Textilgestaltermeisterverordnung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2013 in Kraft.</w:t>
      </w:r>
    </w:p>
    <w:p>
      <w:r>
        <w:rPr>
          <w:color w:val="555555"/>
          <w:sz w:val="17"/>
        </w:rPr>
        <w:t xml:space="preserve">Zitiervorschlag: § 11 TextilgestalterMstrV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https://recht.nulegal.eu/gesetze/TextilgestalterMstrV/11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