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TextilgestalterMstrV — Gegenstand</w:t>
      </w:r>
    </w:p>
    <w:p>
      <w:r>
        <w:rPr>
          <w:color w:val="555555"/>
          <w:sz w:val="18"/>
        </w:rPr>
        <w:t xml:space="preserve">Textilgestaltermeisterverordnung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besteht aus vier selbständigen Prüfungsteilen. Diese Verordnung regelt das Meisterprüfungsberufsbild sowie die Prüfung in den Teilen I und II der Meisterprüfung im Textilgestalter-Handwerk.</w:t>
      </w:r>
    </w:p>
    <w:p>
      <w:r>
        <w:rPr>
          <w:color w:val="555555"/>
          <w:sz w:val="17"/>
        </w:rPr>
        <w:t xml:space="preserve">Zitiervorschlag: § 1 TextilgestalterMstrV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https://recht.nulegal.eu/gesetze/TextilgestalterMstrV/1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