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TextilProdAusbV 2003 — Berichtsheft</w:t>
      </w:r>
    </w:p>
    <w:p>
      <w:r>
        <w:rPr>
          <w:color w:val="555555"/>
          <w:sz w:val="18"/>
        </w:rPr>
        <w:t xml:space="preserve">Verordnung über die Berufsausbildung zum Produktgestalter-Textil/zur Produktgestalterin-Textil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Auszubildenden haben ein Berichtsheft in Form eines Ausbildungsnachweises zu führen. Ihnen ist Gelegenheit zu geben, das Berichtsheft während der Ausbildungszeit zu führen. Die Ausbildenden haben das Berichtsheft regelmäßig durchzusehen.</w:t>
      </w:r>
    </w:p>
    <w:p>
      <w:r>
        <w:rPr>
          <w:color w:val="555555"/>
          <w:sz w:val="17"/>
        </w:rPr>
        <w:t xml:space="preserve">Zitiervorschlag: § 5 TextilProdAusbV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https://recht.nulegal.eu/gesetze/TextilProdAusbV%202003/5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