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TextilKennzZustV (Brandenburg) — Ordnungswidrigkeiten</w:t>
      </w:r>
    </w:p>
    <w:p>
      <w:r>
        <w:rPr>
          <w:color w:val="555555"/>
          <w:sz w:val="18"/>
        </w:rPr>
        <w:t xml:space="preserve">Textilkennzeichnungszuständigkeitsverordnung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sachliche Zuständigkeit im Sinne des § 36 Absatz 1 Nummer 2 Buchstabe a des Gesetzes über Ordnungswidrigkeiten wird gemäß § 36 Absatz 2 Satz 1 des Gesetzes über Ordnungswidrigkeiten für die Verfolgung und Ahndung von Ordnungswidrigkeiten nach § 12 des Textilkennzeichnungsgesetzes auf die nach § 1 zuständige Marktüberwachungsbehörde übertragen.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TextilKennzZustV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https://recht.nulegal.eu/gesetze/TextilKennzZustV/2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