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TextilKennzG 2016 — Voraussetzungen für die Bereitstellung von Textilerzeugnissen auf dem Markt</w:t>
      </w:r>
    </w:p>
    <w:p>
      <w:r>
        <w:rPr>
          <w:color w:val="555555"/>
          <w:sz w:val="18"/>
        </w:rPr>
        <w:t xml:space="preserve">Textilkennzeichnungsgesetz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Hersteller, Einführer oder Händler darf ein Textilerzeugnis nur in Verkehr bringen oder auf dem Markt bereitstellen, wenn es entsprechend § 4 und den Anforderungen der Verordnung (EU) Nr. 1007/2011 etikettiert oder gekennzeichnet ist.</w:t>
      </w:r>
    </w:p>
    <w:p>
      <w:r>
        <w:rPr>
          <w:color w:val="555555"/>
          <w:sz w:val="17"/>
        </w:rPr>
        <w:t xml:space="preserve">Zitiervorschlag: § 3 TextilKennzG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https://recht.nulegal.eu/gesetze/TextilKennzG%202016/3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