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TextilKennzG 2016 — Begriffsbestimmungen</w:t>
      </w:r>
    </w:p>
    <w:p>
      <w:r>
        <w:rPr>
          <w:color w:val="555555"/>
          <w:sz w:val="18"/>
        </w:rPr>
        <w:t xml:space="preserve">Textilkennzeichnungsgesetz</w:t>
      </w:r>
    </w:p>
    <w:p>
      <w:r>
        <w:rPr>
          <w:color w:val="555555"/>
          <w:sz w:val="18"/>
        </w:rPr>
        <w:t xml:space="preserve">Stand: 10.06.2019 (konsolidierte Textfassung, kein amtliches Inkrafttretensdatum)</w:t>
      </w:r>
    </w:p>
    <w:p>
      <w:r>
        <w:t xml:space="preserve">(1) Die Begriffsbestimmungen des Artikels 3 Absatz 1 der Verordnung (EU) Nr. 1007/2011 sind anzuwenden.</w:t>
      </w:r>
    </w:p>
    <w:p>
      <w:r>
        <w:t xml:space="preserve">(2) Hinsichtlich der Begriffe Bereitstellung auf dem Markt, Inverkehrbringen, Hersteller, Einführer, Händler, Wirtschaftsakteure, harmonisierte Norm, Marktüberwachung, Marktüberwachungsbehörde sind die Begriffsbestimmungen des Artikels 2 der Verordnung (EG) Nr. 765/2008 des Europäischen Parlaments und des Rates vom 9. Juli 2008 über die Vorschriften für die Akkreditierung und Marktüberwachung im Zusammenhang mit der Vermarktung von Produkten und zur Aufhebung der Verordnung (EWG) Nr. 339/93 des Rates (ABl. L 218 vom 13.8.2008, S. 30) anzuwenden.</w:t>
      </w:r>
    </w:p>
    <w:p>
      <w:r>
        <w:t xml:space="preserve">(3) Die für die Kontrolle der Außengrenzen zuständigen Behörden im Sinne dieses Gesetzes sind die Zollbehörden.</w:t>
      </w:r>
    </w:p>
    <w:p>
      <w:r>
        <w:rPr>
          <w:color w:val="555555"/>
          <w:sz w:val="17"/>
        </w:rPr>
        <w:t xml:space="preserve">Zitiervorschlag: § 2 TextilKennzG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https://recht.nulegal.eu/gesetze/TextilKennzG%202016/2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