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TextilKennzG 2016 — Bußgeldvorschriften</w:t>
      </w:r>
    </w:p>
    <w:p>
      <w:r>
        <w:rPr>
          <w:color w:val="555555"/>
          <w:sz w:val="18"/>
        </w:rPr>
        <w:t xml:space="preserve">Textilkennzeichnungsgesetz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4 Absatz 1 ein Textilerzeugnis auf dem Markt bereitstellt,</w:t>
      </w:r>
    </w:p>
    <w:p>
      <w:pPr>
        <w:ind w:left="420"/>
      </w:pPr>
      <w:r>
        <w:t xml:space="preserve">2. entgegen § 4 Absatz 3 die dort genannte Etikettierung oder Kennzeichnung nicht, nicht richtig, nicht vollständig oder nicht rechtzeitig vornimmt,</w:t>
      </w:r>
    </w:p>
    <w:p>
      <w:pPr>
        <w:ind w:left="420"/>
      </w:pPr>
      <w:r>
        <w:t xml:space="preserve">3. entgegen § 4 Absatz 4 die dort genannte Etikettierung oder Kennzeichnung nicht sicherstellt,</w:t>
      </w:r>
    </w:p>
    <w:p>
      <w:pPr>
        <w:ind w:left="420"/>
      </w:pPr>
      <w:r>
        <w:t xml:space="preserve">4. entgegen § 5 eine dort genannte Unterlage nicht oder nicht mindestens zwei Kalenderjahre aufbewahrt,</w:t>
      </w:r>
    </w:p>
    <w:p>
      <w:pPr>
        <w:ind w:left="420"/>
      </w:pPr>
      <w:r>
        <w:t xml:space="preserve">5. entgegen § 11 Absatz 4 Satz 1 eine dort genannte Maßnahme nicht duldet oder</w:t>
      </w:r>
    </w:p>
    <w:p>
      <w:pPr>
        <w:ind w:left="420"/>
      </w:pPr>
      <w:r>
        <w:t xml:space="preserve">6. entgegen § 11 Absatz 4 Satz 2 eine Auskunft nicht, nicht richtig, nicht vollständig oder nicht rechtzeitig erteilt.</w:t>
      </w:r>
    </w:p>
    <w:p>
      <w:r>
        <w:t xml:space="preserve">(2) Die Ordnungswidrigkeit kann mit einer Geldbuße bis zu zehntausend Euro geahndet werden.</w:t>
      </w:r>
    </w:p>
    <w:p>
      <w:r>
        <w:t xml:space="preserve">(3) Gegenstände, auf die sich eine Ordnungswidrigkeit nach Absatz 1 bezieht, können eingezogen werden.</w:t>
      </w:r>
    </w:p>
    <w:p>
      <w:r>
        <w:rPr>
          <w:color w:val="555555"/>
          <w:sz w:val="17"/>
        </w:rPr>
        <w:t xml:space="preserve">Zitiervorschlag: § 12 TextilKennzG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https://recht.nulegal.eu/gesetze/TextilKennzG%202016/12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