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TextilKennzG 2016 — Anwendungsbereich</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Dieses Gesetz ist für Textilerzeugnisse, die auf dem Markt bereitgestellt werden, für die Verwendung von Bezeichnungen von Textilfasern, für die Etikettierung und Kennzeichnung der Faserzusammensetzung von Textilerzeugnissen und der nichttextilen Bestandteile tierischen Ursprungs von Textilerzeugnissen und für die Bestimmung der Faserzusammensetzung von Textilerzeugnissen durch quantitative Analyse von binären und ternären Textilfasergemischen anzuwenden. Es regelt die Durchführung und ist ergänzend zu der Verordnung (EU) Nr. 1007/2011 des Europäischen Parlaments und des Rates vom 27. September 2011 über die Bezeichnungen von Textilfasern und die damit zusammenhängende Etikettierung und Kennzeichnung der Faserzusammensetzung von Textilerzeugnissen und zur Aufhebung der Richtlinie 73/44/EWG des Rates und der Richtlinien 96/73/EG und 2008/121/EG des Europäischen Parlaments und des Rates (ABl. L 272 vom 18.10.2011, S. 1), die zuletzt durch die Verordnung (EU) Nr. 517/2013 (ABl. L 158 vom 10.6.2013, S. 1) geändert worden ist, anzuwenden.</w:t>
      </w:r>
    </w:p>
    <w:p>
      <w:r>
        <w:t xml:space="preserve">(2) Textilerzeugnissen stehen die in Artikel 2 Absatz 2 der Verordnung (EU) Nr. 1007/2011 genannten Erzeugnisse gleich.</w:t>
      </w:r>
    </w:p>
    <w:p>
      <w:r>
        <w:t xml:space="preserve">(3) Dieses Gesetz ist nicht für die in Artikel 2 Absatz 3 und 4 der Verordnung (EU) Nr. 1007/2011 genannten Textilerzeugnisse anzuwenden.</w:t>
      </w:r>
    </w:p>
    <w:p>
      <w:r>
        <w:rPr>
          <w:color w:val="555555"/>
          <w:sz w:val="17"/>
        </w:rPr>
        <w:t xml:space="preserve">Zitiervorschlag: § 1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