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TextilIndMeistPrV 2006 — Umfang der Industriemeisterqualifikation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Industriemeister/zur Geprüften Industriemeisterin - Fachrichtung Textilwirtschaft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Fachrichtungsübergreifende Basisqualifikationen,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aufgrund einer anderen öffentlich-rechtlichen Regelung, wenn die nachgewiesenen Kenntnisse den Anforderungen nach den §§ 2 bis 4 der Ausbilder-Eignungsverordnung gleichwertig sind, ist nachzuweisen. Die Aneignung dieser Qualifikationen soll in der Regel vor Zulassung zum Prüfungsteil "Fachrichtungsübergreifende Basisqualifikationen" erfolgen. Der Nachweis ist vor Beginn der letzten Prüfungsleistung zu erbringen.</w:t>
      </w:r>
    </w:p>
    <w:p>
      <w:r>
        <w:t xml:space="preserve">(3) Die Prüfung zum Geprüften Industriemeister/zur Geprüften Industriemeisterin - Fachrichtung Textilwirtschaft gliedert sich in die Prüfungsteile:</w:t>
      </w:r>
    </w:p>
    <w:p>
      <w:pPr>
        <w:ind w:left="420"/>
      </w:pPr>
      <w:r>
        <w:t xml:space="preserve">1. Fachrichtungsübergreifende Basisqualifikationen,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prüfen, im Prüfungsteil nach Absatz 3 Nr. 2 ist schriftlich in Form von funktionsfeldbezogenen und die Handlungsbereiche integrierenden Situationsaufgaben und mündlich in Form eines situationsbezogenen Fachgesprächs gemäß § 5 zu prüfen.</w:t>
      </w:r>
    </w:p>
    <w:p>
      <w:r>
        <w:rPr>
          <w:color w:val="555555"/>
          <w:sz w:val="17"/>
        </w:rPr>
        <w:t xml:space="preserve">Zitiervorschlag: § 2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