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TextRMstrV</w:t>
      </w:r>
    </w:p>
    <w:p>
      <w:r>
        <w:rPr>
          <w:color w:val="555555"/>
          <w:sz w:val="18"/>
        </w:rPr>
        <w:t xml:space="preserve">Textilreinigermeisterverordnung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der Handwerksordnung in der Fassung der Bekanntmachung vom 28. Dezember 1965 (BGBl. 1966 I S. 1), der zuletzt durch Artikel 24 Nr. 1 des Gesetzes vom 18. März 1975 (BGBl. I S. 705) geändert worden ist, wird im Einvernehmen mit dem Bundesminister für Bildung und Wissenschaft verordnet:</w:t>
      </w:r>
    </w:p>
    <w:p>
      <w:r>
        <w:rPr>
          <w:color w:val="555555"/>
          <w:sz w:val="17"/>
        </w:rPr>
        <w:t xml:space="preserve">Zitiervorschlag: Eingangsformel TextRMstrV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https://recht.nulegal.eu/gesetze/TextRMstrV/eingangsformel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