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TextRMstrV — Arbeitsprobe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Meisterprüfungsarbeit nach § 3 Abs. 1 Nr. 1 gewählt, sind als Arbeitsprobe folgende Arbeiten auszuführen:</w:t>
      </w:r>
    </w:p>
    <w:p>
      <w:pPr>
        <w:ind w:left="420"/>
      </w:pPr>
      <w:r>
        <w:t xml:space="preserve">a) Durchführen eines 2-Bad-Waschverfahrens,</w:t>
      </w:r>
    </w:p>
    <w:p>
      <w:pPr>
        <w:ind w:left="420"/>
      </w:pPr>
      <w:r>
        <w:t xml:space="preserve">b) Titrieren der Waschlauge,</w:t>
      </w:r>
    </w:p>
    <w:p>
      <w:pPr>
        <w:ind w:left="420"/>
      </w:pPr>
      <w:r>
        <w:t xml:space="preserve">c) Handbügeln.</w:t>
      </w:r>
    </w:p>
    <w:p>
      <w:r>
        <w:t xml:space="preserve">(2) Wird die Meisterprüfungsarbeit nach § 3 Abs. 1 Nr. 2 gewählt, sind als Arbeitsprobe folgende Arbeiten auszuführen:</w:t>
      </w:r>
    </w:p>
    <w:p>
      <w:pPr>
        <w:ind w:left="420"/>
      </w:pPr>
      <w:r>
        <w:t xml:space="preserve">a) Durchführen eines zweistufigen Reinigungsverfahrens,</w:t>
      </w:r>
    </w:p>
    <w:p>
      <w:pPr>
        <w:ind w:left="420"/>
      </w:pPr>
      <w:r>
        <w:t xml:space="preserve">b) Beseitigen von Verfleckungen,</w:t>
      </w:r>
    </w:p>
    <w:p>
      <w:pPr>
        <w:ind w:left="420"/>
      </w:pPr>
      <w:r>
        <w:t xml:space="preserve">c) Handbügeln.</w:t>
      </w:r>
    </w:p>
    <w:p>
      <w:r>
        <w:t xml:space="preserve">(3)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