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TextLabAusbV 2003 — Zwischenprüfung</w:t>
      </w:r>
    </w:p>
    <w:p>
      <w:r>
        <w:rPr>
          <w:color w:val="555555"/>
          <w:sz w:val="18"/>
        </w:rPr>
        <w:t xml:space="preserve">Verordnung über die Berufsausbildung zum Textillaborant/zur Textillaborantin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Arbeitsabläufe strukturieren sowie Werk- und Hilfsstoffe, Arbeitsmittel und -geräte handhaben, technische Unterlagen sowie Informations- und Kommunikationssysteme nutzen,</w:t>
      </w:r>
    </w:p>
    <w:p>
      <w:pPr>
        <w:ind w:left="420"/>
      </w:pPr>
      <w:r>
        <w:t xml:space="preserve">2. Messmittel justieren, verifizieren und kalibrieren, Arbeitsgeräte und Laboreinrichtungen instand halten,</w:t>
      </w:r>
    </w:p>
    <w:p>
      <w:pPr>
        <w:ind w:left="420"/>
      </w:pPr>
      <w:r>
        <w:t xml:space="preserve">3. Analysieren und Mikroskopieren von Materialien, mechanisch-technologische Eigenschaften und thermisches Verhalten ermitteln sowie Konstruktionsmerkmale an Faserstoffen und textilen Längen- und Flächengebilden bestimmen,</w:t>
      </w:r>
    </w:p>
    <w:p>
      <w:pPr>
        <w:ind w:left="420"/>
      </w:pPr>
      <w:r>
        <w:t xml:space="preserve">4. Arbeitsstoffe ansetzen, handhaben und nachweisen,</w:t>
      </w:r>
    </w:p>
    <w:p>
      <w:pPr>
        <w:ind w:left="420"/>
      </w:pPr>
      <w:r>
        <w:t xml:space="preserve">5. Proben vorbereiten, Prüfmittel und Prüfverfahren festlegen,</w:t>
      </w:r>
    </w:p>
    <w:p>
      <w:pPr>
        <w:ind w:left="420"/>
      </w:pPr>
      <w:r>
        <w:t xml:space="preserve">6. Prüfparameter einstellen, Prüfungen durchführen sowie Prüfverfahren und Prozessabläufe überwachen und Arbeitsergebnisse auswerten und dokumentieren, Sicherheitsregeln, Unfallverhütungsvorschriften und Umweltschutzbestimmungen einhalten</w:t>
      </w:r>
    </w:p>
    <w:p>
      <w:r>
        <w:t xml:space="preserve">kann. Diese Anforderungen sollen an einer Materialprüfung einschließlich einer qualitativen Analyse, Herstellen der dazu notwendigen Lösungen und Bestimmen der Konstruktionsmerkmale nachgewiesen werden.</w:t>
      </w:r>
    </w:p>
    <w:p>
      <w:r>
        <w:t xml:space="preserve">(4) Die Prüfung besteht aus der Ausführung einer komplexen Arbeitsaufgabe, die situative Gesprächsphasen und schriftliche Aufgabenstellungen beinhaltet. Die Prüfung soll in insgesamt höchstens sieben Stunden durchgeführt werden, wobei die Gesprächsphasen insgesamt höchstens zehn Minuten umfassen sollen. Die Aufgabenstellungen sollen einen zeitlichen Umfang von höchstens 120 Minuten haben.</w:t>
      </w:r>
    </w:p>
    <w:p>
      <w:r>
        <w:rPr>
          <w:color w:val="555555"/>
          <w:sz w:val="17"/>
        </w:rPr>
        <w:t xml:space="preserve">Zitiervorschlag: § 8 TextLabAusbV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https://recht.nulegal.eu/gesetze/TextLabAusbV%202003/8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