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TextLabAusbV 2003 — Übergangsregelung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