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TexRAusbV 2002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und auf Grund des § 25 Abs. 1 in Verbindung mit Abs. 2 Satz 1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