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TestG — Übergangsvorschriften</w:t>
      </w:r>
    </w:p>
    <w:p>
      <w:r>
        <w:rPr>
          <w:color w:val="555555"/>
          <w:sz w:val="18"/>
        </w:rPr>
        <w:t xml:space="preserve">Gesetz über die Errichtung von Testamenten und Erbverträgen</w:t>
      </w:r>
    </w:p>
    <w:p>
      <w:r>
        <w:rPr>
          <w:color w:val="555555"/>
          <w:sz w:val="18"/>
        </w:rPr>
        <w:t xml:space="preserve">Stand: 10.06.2019 (konsolidierte Textfassung, kein amtliches Inkrafttretensdatum)</w:t>
      </w:r>
    </w:p>
    <w:p>
      <w:r>
        <w:t xml:space="preserve">(1) Das Gesetz gilt nicht für Erbfälle, die sich vor seinem Inkrafttreten ereignet haben.</w:t>
      </w:r>
    </w:p>
    <w:p>
      <w:r>
        <w:t xml:space="preserve">(2) Die vor dem Inkrafttreten des Gesetzes erfolgte Errichtung oder Aufhebung eines Testaments oder Erbvertrags wird nach den bisherigen Vorschriften beurteilt, auch wenn der Erblasser nach dem Inkrafttreten des Gesetzes stirbt.</w:t>
      </w:r>
    </w:p>
    <w:p>
      <w:r>
        <w:t xml:space="preserve">(3) Bei Erbfällen, die sich nach dem Inkrafttreten des Gesetzes ereignen, sind an die Gültigkeit eines Testaments keine höheren Anforderungen zu stellen, als nach diesem Gesetz für ein Testament der betreffenden Art zulässig ist, auch wenn das Testament vor dem Inkrafttreten dieses Gesetzes errichtet ist. Dies gilt entsprechend für Erbverträge.</w:t>
      </w:r>
    </w:p>
    <w:p>
      <w:r>
        <w:rPr>
          <w:color w:val="555555"/>
          <w:sz w:val="17"/>
        </w:rPr>
        <w:t xml:space="preserve">Zitiervorschlag: § 51 TestG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https://recht.nulegal.eu/gesetze/TestG/51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