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TerrOIBG — Zwangsgeld</w:t>
      </w:r>
    </w:p>
    <w:p>
      <w:r>
        <w:rPr>
          <w:color w:val="555555"/>
          <w:sz w:val="18"/>
        </w:rPr>
        <w:t xml:space="preserve">Terroristische-Online-Inhalte-Bekämpfungs-Gesetz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Zur Durchsetzung der Anordnungen nach Artikel 3 Absatz 1 und Artikel 5 Absatz 6 der Verordnung (EU) 2021/784 kann nach Maßgabe des Verwaltungsvollstreckungsgesetzes ein Zwangsgeld in Höhe von bis zu fünf Millionen Euro festgesetzt werden.</w:t>
      </w:r>
    </w:p>
    <w:p>
      <w:r>
        <w:rPr>
          <w:color w:val="555555"/>
          <w:sz w:val="17"/>
        </w:rPr>
        <w:t xml:space="preserve">Zitiervorschlag: § 5 TerrOIBG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https://recht.nulegal.eu/gesetze/TerrOIBG/5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