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TerrOIBG — Übermittlungspflichten</w:t>
      </w:r>
    </w:p>
    <w:p>
      <w:r>
        <w:rPr>
          <w:color w:val="555555"/>
          <w:sz w:val="18"/>
        </w:rPr>
        <w:t xml:space="preserve">Terroristische-Online-Inhalte-Bekämpfungs-Gesetz</w:t>
      </w:r>
    </w:p>
    <w:p>
      <w:r>
        <w:rPr>
          <w:color w:val="555555"/>
          <w:sz w:val="18"/>
        </w:rPr>
        <w:t xml:space="preserve">Stand: 27.07.2022 (konsolidierte Textfassung, kein amtliches Inkrafttretensdatum)</w:t>
      </w:r>
    </w:p>
    <w:p>
      <w:r>
        <w:t xml:space="preserve">(1) Das Bundeskriminalamt übermittelt der Bundesnetzagentur kalenderjährlich die Informationen nach Artikel 21 Absatz 1 Satz 2 Buchstabe a und e der Verordnung (EU) 2021/784 aus seinem Zuständigkeitsbereich. Die Informationen sind bis zum 1. März des auf das Berichtsjahr folgenden Jahres zu übermitteln.</w:t>
      </w:r>
    </w:p>
    <w:p>
      <w:r>
        <w:t xml:space="preserve">(2) Die Hostingdiensteanbieter übermitteln der Bundesnetzagentur kalenderjährlich Informationen nach Artikel 21 Absatz 1 Satz 2 Buchstabe c der Verordnung (EU) 2021/784. Die Informationen sind bis zum 1. März des auf das Berichtsjahr folgenden Jahres zu übermitteln.</w:t>
      </w:r>
    </w:p>
    <w:p>
      <w:r>
        <w:t xml:space="preserve">(3) Die Bundesnetzagentur übermittelt die in Artikel 21 Absatz 1 der Verordnung (EU) 2021/784 genannten Informationen bis zum 31. März jeden Jahres an die Europäische Kommission.</w:t>
      </w:r>
    </w:p>
    <w:p>
      <w:r>
        <w:t xml:space="preserve">(4) Das Bundeskriminalamt übermittelt der Bundesnetzagentur auf deren Ersuchen Informationen nach den Artikeln 22 und 23 der Verordnung (EU) 2021/784, die es im Rahmen der Wahrnehmung seiner Aufgaben nach diesem Gesetz erlangt hat.</w:t>
      </w:r>
    </w:p>
    <w:p>
      <w:r>
        <w:t xml:space="preserve">(5) Die Bundesnetzagentur übermittelt der Europäischen Kommission auf deren Ersuchen Informationen nach den Artikeln 22 und 23 der Verordnung (EU) 2021/784.</w:t>
      </w:r>
    </w:p>
    <w:p>
      <w:r>
        <w:rPr>
          <w:color w:val="555555"/>
          <w:sz w:val="17"/>
        </w:rPr>
        <w:t xml:space="preserve">Zitiervorschlag: § 3 TerrOIBG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https://recht.nulegal.eu/gesetze/TerrOIBG/3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