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TerrOIBG — Zuständigkeiten und Aufgaben</w:t>
      </w:r>
    </w:p>
    <w:p>
      <w:r>
        <w:rPr>
          <w:color w:val="555555"/>
          <w:sz w:val="18"/>
        </w:rPr>
        <w:t xml:space="preserve">Terroristische-Online-Inhalte-Bekämpfungs-Gesetz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Das Bundeskriminalamt ist zuständige Behörde nach Artikel 12 Absatz 1 Buchstabe a und b der Verordnung (EU) 2021/784 des Europäischen Parlaments und des Rates vom 29. April 2021 zur Bekämpfung der Verbreitung terroristischer Online-Inhalte (ABl. L 172 vom 17.5.2021, S. 79) für den Erlass und die Überprüfung von Entfernungsanordnungen nach den Artikeln 3 und 4 der Verordnung (EU) 2021/784.</w:t>
      </w:r>
    </w:p>
    <w:p>
      <w:r>
        <w:t xml:space="preserve">(2) Die Bundesnetzagentur für Elektrizität, Gas, Telekommunikation, Post und Eisenbahnen (Bundesnetzagentur) ist zuständige Behörde nach Artikel 12 Absatz 1 Buchstabe c und d der Verordnung (EU) 2021/784 für die Überwachung der Durchführung spezifischer Maßnahmen der Hostingdiensteanbieter nach Artikel 5 der Verordnung (EU) 2021/784 und für die Verhängung von Sanktionen nach Artikel 18 der Verordnung (EU) 2021/784.</w:t>
      </w:r>
    </w:p>
    <w:p>
      <w:r>
        <w:t xml:space="preserve">(3) Das Bundeskriminalamt richtet nach Artikel 12 Absatz 2 der Verordnung (EU) 2021/784 eine Kontaktstelle ein. Das Bundeskriminalamt veröffentlicht Angaben zur Erreichbarkeit der Kontaktstelle auf seiner Internetseite.</w:t>
      </w:r>
    </w:p>
    <w:p>
      <w:r>
        <w:t xml:space="preserve">(4) Das Bundeskriminalamt nimmt die Meldungen nach Artikel 14 Absatz 5 der Verordnung (EU) 2021/784 entgegen und verarbeitet diese im Rahmen seiner gesetzlichen Aufgaben nach dem Bundeskriminalamtgesetz.</w:t>
      </w:r>
    </w:p>
    <w:p>
      <w:r>
        <w:rPr>
          <w:color w:val="555555"/>
          <w:sz w:val="17"/>
        </w:rPr>
        <w:t xml:space="preserve">Zitiervorschlag: § 1 TerrOIBG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https://recht.nulegal.eu/gesetze/TerrOIBG/1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