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TerrBekGeBefrVerlG — Inkrafttreten</w:t>
      </w:r>
    </w:p>
    <w:p>
      <w:r>
        <w:rPr>
          <w:color w:val="555555"/>
          <w:sz w:val="18"/>
        </w:rPr>
        <w:t xml:space="preserve">Gesetz zur Verlängerung der Befristung von Vorschriften nach den Terrorismusbekämpfungsgesetzen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vorbehaltlich des Satzes 2 am Tag nach der Verkündung in Kraft. Die Artikel 3 und 4 treten am 1. März 2016 in Kraft.</w:t>
      </w:r>
    </w:p>
    <w:p>
      <w:r>
        <w:rPr>
          <w:color w:val="555555"/>
          <w:sz w:val="17"/>
        </w:rPr>
        <w:t xml:space="preserve">Zitiervorschlag: Art 7 TerrBekGeBefrVerlG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https://recht.nulegal.eu/gesetze/TerrBekGeBefrVerlG/7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