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TermVInfGebV</w:t>
      </w:r>
    </w:p>
    <w:p>
      <w:r>
        <w:rPr>
          <w:color w:val="555555"/>
          <w:sz w:val="18"/>
        </w:rPr>
        <w:t xml:space="preserve">Terminvermittlungsinformationen-Gebührenverordnung</w:t>
      </w:r>
    </w:p>
    <w:p>
      <w:r>
        <w:rPr>
          <w:color w:val="555555"/>
          <w:sz w:val="18"/>
        </w:rPr>
        <w:t xml:space="preserve">Stand: 01.10.2024 (konsolidierte Textfassung, kein amtliches Inkrafttretensdatum)</w:t>
      </w:r>
    </w:p>
    <w:p>
      <w:r>
        <w:t xml:space="preserve">Auf Grund des § 370a Absatz 4 des Fünften Buches Sozialgesetzbuch in Verbindung mit § 1 der Verordnung zur Übertragung der Ermächtigung zum Erlass einer Rechtsverordnung nach dem Fünften Buch Sozialgesetzbuch auf die Kassenärztliche Bundesvereinigung vom 9. Februar 2024 (BGBl. 2024 I Nr. 41), von denen § 370a Absatz 4 des Fünften Buches Sozialgesetzbuch durch Artikel 1 Nummer 74 Buchstabe e des Gesetzes vom 22. März 2024 (BGBl. 2024 I Nr. 101) geändert worden ist, verordnet die Kassenärztliche Bundesvereinigung:</w:t>
      </w:r>
    </w:p>
    <w:p>
      <w:r>
        <w:rPr>
          <w:color w:val="555555"/>
          <w:sz w:val="17"/>
        </w:rPr>
        <w:t xml:space="preserve">Zitiervorschlag: Eingangsformel TermVInfGebV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https://recht.nulegal.eu/gesetze/TermVInfGebV/eingangsformel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