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TermVInfGebV — Verjährung und Erstattung</w:t>
      </w:r>
    </w:p>
    <w:p>
      <w:r>
        <w:rPr>
          <w:color w:val="555555"/>
          <w:sz w:val="18"/>
        </w:rPr>
        <w:t xml:space="preserve">Terminvermittlungsinformationen-Gebührenverordnung</w:t>
      </w:r>
    </w:p>
    <w:p>
      <w:r>
        <w:rPr>
          <w:color w:val="555555"/>
          <w:sz w:val="18"/>
        </w:rPr>
        <w:t xml:space="preserve">Stand: 01.10.2024 (konsolidierte Textfassung, kein amtliches Inkrafttretensdatum)</w:t>
      </w:r>
    </w:p>
    <w:p>
      <w:r>
        <w:t xml:space="preserve">Die §§ 18, 19 und 21 des Bundesgebührengesetzes zur Verjährung und zur Erstattung sind entsprechend anzuwenden.</w:t>
      </w:r>
    </w:p>
    <w:p>
      <w:r>
        <w:rPr>
          <w:color w:val="555555"/>
          <w:sz w:val="17"/>
        </w:rPr>
        <w:t xml:space="preserve">Zitiervorschlag: § 9 TermVInfGebV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https://recht.nulegal.eu/gesetze/TermVInfGebV/9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