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TermVInfGebV — Gebührenbefreiung</w:t>
      </w:r>
    </w:p>
    <w:p>
      <w:r>
        <w:rPr>
          <w:color w:val="555555"/>
          <w:sz w:val="18"/>
        </w:rPr>
        <w:t xml:space="preserve">Terminvermittlungsinformationen-Gebührenverordnung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Kassenärztliche Vereinigungen, die die Schnittstelle nach § 370a Absatz 2 des Fünften Buches Sozialgesetzbuch für die Vermittlung von Behandlungsterminen und telemedizinischen Angeboten nutzen, sind von der Zahlung der Gebühren und Auslagen nach dieser Gebührenverordnung befreit.</w:t>
      </w:r>
    </w:p>
    <w:p>
      <w:r>
        <w:rPr>
          <w:color w:val="555555"/>
          <w:sz w:val="17"/>
        </w:rPr>
        <w:t xml:space="preserve">Zitiervorschlag: § 7 TermVInfGebV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https://recht.nulegal.eu/gesetze/TermVInfGebV/7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