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TermVInfGebV — Transaktionen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Die Nutzung der Informationen zur Vermittlung von Behandlungsterminen und telemedizinischen Angeboten erfolgt durch die Transaktionen „Suchen“, „Buchen“, „Absagen“ sowie „Vermittlungscode anfordern“ in Form entsprechender Aufrufe der Schnittstelle durch den Nutzer.</w:t>
      </w:r>
    </w:p>
    <w:p>
      <w:r>
        <w:t xml:space="preserve">(2) Die Gebühr für die im Kalendermonat durchgeführten Transaktionen wird nach dem Ende des jeweiligen Kalendermonats festgesetzt.</w:t>
      </w:r>
    </w:p>
    <w:p>
      <w:r>
        <w:rPr>
          <w:color w:val="555555"/>
          <w:sz w:val="17"/>
        </w:rPr>
        <w:t xml:space="preserve">Zitiervorschlag: § 5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