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TermVInfGebV — Gebührenschuldner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Zur Zahlung der Gebühren und zur Erstattung der Auslagen ist verpflichtet,</w:t>
      </w:r>
    </w:p>
    <w:p>
      <w:pPr>
        <w:ind w:left="420"/>
      </w:pPr>
      <w:r>
        <w:t xml:space="preserve">1. der Antragsteller,</w:t>
      </w:r>
    </w:p>
    <w:p>
      <w:pPr>
        <w:ind w:left="420"/>
      </w:pPr>
      <w:r>
        <w:t xml:space="preserve">2. der Nutzer der Schnittstelle nach der Zulassung,</w:t>
      </w:r>
    </w:p>
    <w:p>
      <w:pPr>
        <w:ind w:left="420"/>
      </w:pPr>
      <w:r>
        <w:t xml:space="preserve">3. derjenige, der die Gebührenschuld eines anderen übernommen hat oder</w:t>
      </w:r>
    </w:p>
    <w:p>
      <w:pPr>
        <w:ind w:left="420"/>
      </w:pPr>
      <w:r>
        <w:t xml:space="preserve">4. derjenige, der für die Gebührenschuld eines anderen kraft Gesetzes haftet.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3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