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TermVInfGebV — Inkrafttreten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