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TelekAGSa — Höhe und Einteilung des Grundkapitals</w:t>
      </w:r>
    </w:p>
    <w:p>
      <w:r>
        <w:rPr>
          <w:color w:val="555555"/>
          <w:sz w:val="18"/>
        </w:rPr>
        <w:t xml:space="preserve">Satzung der Deutsche Telekom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Grundkapital der Gesellschaft beträgt zehn Milliarden Deutsche Mark. Es ist eingeteilt in zweihundert Millionen Aktien im Nennbetrag von je fünfzig Deutsche Mark.</w:t>
      </w:r>
    </w:p>
    <w:p>
      <w:r>
        <w:t xml:space="preserve">(2) Der Vorstand ist ermächtigt, das Grundkapital bis zum Ablauf von fünf Jahren seit Eintragung durch Ausgabe neuer Aktien gegen Sach- und Bareinlagen einmal oder mehrmals zu erhöhen. Der Gesamtbetrag der Erhöhungen darf die Hälfte des Grundkapitals nach Absatz 1 nicht übersteigen.</w:t>
      </w:r>
    </w:p>
    <w:p>
      <w:r>
        <w:t xml:space="preserve">(3) Die Aktien lauten auf den Inhaber.</w:t>
      </w:r>
    </w:p>
    <w:p>
      <w:r>
        <w:t xml:space="preserve">(4) Trifft bei einer Kapitalerhöhung der Erhöhungsbeschluß keine Bestimmung darüber, ob die neuen Aktien auf den Inhaber oder auf den Namen lauten sollen, so lauten sie auf den Inhaber.</w:t>
      </w:r>
    </w:p>
    <w:p>
      <w:r>
        <w:t xml:space="preserve">(5) Die Form der Aktienurkunden und der Gewinnanteil- und Erneuerungsscheine bestimmt der Vorstand. Über mehrere Aktien eines Aktionärs kann eine Urkunde ausgestellt werden.</w:t>
      </w:r>
    </w:p>
    <w:p>
      <w:r>
        <w:t xml:space="preserve">(6) Bei einer Kapitalerhöhung kann die Gewinnbeteiligung neuer Aktien abweichend von § 60 des Aktiengesetzes bestimmt werden.</w:t>
      </w:r>
    </w:p>
    <w:p>
      <w:r>
        <w:rPr>
          <w:color w:val="555555"/>
          <w:sz w:val="17"/>
        </w:rPr>
        <w:t xml:space="preserve">Zitiervorschlag: § 5 TelekAGSa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https://recht.nulegal.eu/gesetze/TelekAGSa/5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