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TelekAGSa — Teilnahmerecht und Stimmrecht</w:t>
      </w:r>
    </w:p>
    <w:p>
      <w:r>
        <w:rPr>
          <w:color w:val="555555"/>
          <w:sz w:val="18"/>
        </w:rPr>
        <w:t xml:space="preserve">Satzung der Deutsche Telekom AG (Anhang des Gesetzes zur Umwandlung der Unternehmen der Deutschen Bundespost in die Rechtsform der Aktiengesellschaft)</w:t>
      </w:r>
    </w:p>
    <w:p>
      <w:r>
        <w:rPr>
          <w:color w:val="555555"/>
          <w:sz w:val="18"/>
        </w:rPr>
        <w:t xml:space="preserve">Stand: 10.06.2019 (konsolidierte Textfassung, kein amtliches Inkrafttretensdatum)</w:t>
      </w:r>
    </w:p>
    <w:p>
      <w:r>
        <w:t xml:space="preserve">(1) Zur Teilnahme an der Hauptversammlung und zur Ausübung des Stimmrechts in der Hauptversammlung sind diejenigen Aktionäre berechtigt, die ihre Aktien bei der Gesellschaftskasse, bei einem deutschen Notar, bei einer Wertpapiersammelbank oder bei den sonst in der Einberufung bezeichneten Stellen während der Geschäftsstunden hinterlegen und bis zur Beendigung der Hauptversammlung dort belassen. Die Hinterlegung gilt auch dann als bei einer der benannten Stellen bewirkt, wenn Aktien mit Zustimmung einer Hinterlegungsstelle für diese bei einem Kreditinstitut bis zur Beendigung der Hauptversammlung im Sperrdepot gehalten werden.</w:t>
      </w:r>
    </w:p>
    <w:p>
      <w:r>
        <w:t xml:space="preserve">(2) Die Hinterlegung muß spätestens am siebten Tage vor der Versammlung erfolgen. Fällt der letzte Tag der Hinterlegungsfrist auf einen Sonntag, einen Sonnabend oder einen am Hinterlegungsort staatlich anerkannten allgemeinen Feiertag, so hat die Hinterlegung spätestens am vorherigen Werktag zu erfolgen.</w:t>
      </w:r>
    </w:p>
    <w:p>
      <w:r>
        <w:t xml:space="preserve">(3) Im Falle der Hinterlegung bei einem deutschen Notar oder bei einer Wertpapiersammelbank ist die hierüber auszustellende Bescheinigung spätestens am ersten Werktag - ausgenommen der Sonnabend - nach Ablauf der Hinterlegungsfrist bei der Gesellschaft einzureichen.</w:t>
      </w:r>
    </w:p>
    <w:p>
      <w:r>
        <w:rPr>
          <w:color w:val="555555"/>
          <w:sz w:val="17"/>
        </w:rPr>
        <w:t xml:space="preserve">Zitiervorschlag: § 19 TelekAGSa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https://recht.nulegal.eu/gesetze/TelekAGSa/19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