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TeleGebV — Gebührenschuldner</w:t>
      </w:r>
    </w:p>
    <w:p>
      <w:r>
        <w:rPr>
          <w:color w:val="555555"/>
          <w:sz w:val="18"/>
        </w:rPr>
        <w:t xml:space="preserve">Telematikgebührenverordnung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Zahlung der Gebühren und zur Erstattung der Auslagen ist derjenige verpflichtet, der</w:t>
      </w:r>
    </w:p>
    <w:p>
      <w:pPr>
        <w:ind w:left="420"/>
      </w:pPr>
      <w:r>
        <w:t xml:space="preserve">1. die gebührenpflichtige Leistung durch einen Antrag veranlasst,</w:t>
      </w:r>
    </w:p>
    <w:p>
      <w:pPr>
        <w:ind w:left="420"/>
      </w:pPr>
      <w:r>
        <w:t xml:space="preserve">2. die Gebührenschuld eines anderen durch eine gegenüber der Gesellschaft für Telematik abgegebene Erklärung übernommen hat oder</w:t>
      </w:r>
    </w:p>
    <w:p>
      <w:pPr>
        <w:ind w:left="420"/>
      </w:pPr>
      <w:r>
        <w:t xml:space="preserve">3. für die Gebührenschuld eines anderen kraft Gesetzes haftet.</w:t>
      </w:r>
    </w:p>
    <w:p>
      <w:r>
        <w:t xml:space="preserve">(2) Mehrere Gebührenschuldner haften als Gesamtschuldner.</w:t>
      </w:r>
    </w:p>
    <w:p>
      <w:r>
        <w:rPr>
          <w:color w:val="555555"/>
          <w:sz w:val="17"/>
        </w:rPr>
        <w:t xml:space="preserve">Zitiervorschlag: § 2 TeleGebV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