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TeleGebV — Gebührenerhebung; Entstehung der Gebührenschuld</w:t>
      </w:r>
    </w:p>
    <w:p>
      <w:r>
        <w:rPr>
          <w:color w:val="555555"/>
          <w:sz w:val="18"/>
        </w:rPr>
        <w:t xml:space="preserve">Telematikgebührenverordnung</w:t>
      </w:r>
    </w:p>
    <w:p>
      <w:r>
        <w:rPr>
          <w:color w:val="555555"/>
          <w:sz w:val="18"/>
        </w:rPr>
        <w:t xml:space="preserve">Stand: 03.07.2021 (konsolidierte Textfassung, kein amtliches Inkrafttretensdatum)</w:t>
      </w:r>
    </w:p>
    <w:p>
      <w:r>
        <w:t xml:space="preserve">(1) Die Gesellschaft für Telematik erhebt für von ihr erbrachte individuell zurechenbare öffentliche Leistungen nach den §§ 324, 325, auch in Verbindung mit § 311 Absatz 6 Satz 5, und § 327 des Fünften Buches Sozialgesetzbuch Gebühren und Auslagen nach den folgenden Vorschriften.</w:t>
      </w:r>
    </w:p>
    <w:p>
      <w:r>
        <w:t xml:space="preserve">(2) Die Gebührenschuld für eine individuell zurechenbare öffentliche Leistung nach Absatz 1 sowie die Verpflichtung zur Erstattung von Auslagen nach § 6 entsteht mit der Bekanntgabe des Bescheides über die beantragte Zulassung oder Bestätigung.</w:t>
      </w:r>
    </w:p>
    <w:p>
      <w:r>
        <w:t xml:space="preserve">(3) Wird ein Antrag zurückgenommen, entsteht die Gebührenschuld für eine individuell zurechenbare öffentliche Leistung nach Absatz 1 mit der Rücknahme des Antrags.</w:t>
      </w:r>
    </w:p>
    <w:p>
      <w:r>
        <w:rPr>
          <w:color w:val="555555"/>
          <w:sz w:val="17"/>
        </w:rPr>
        <w:t xml:space="preserve">Zitiervorschlag: § 1 TeleGebV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