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TeleFinV 2024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2024</w:t>
      </w:r>
    </w:p>
    <w:p>
      <w:r>
        <w:rPr>
          <w:color w:val="555555"/>
          <w:sz w:val="18"/>
        </w:rPr>
        <w:t xml:space="preserve">Historische Fassung: Stand 12.12.2023 bis 01.01.2025. Dies ist nicht die aktuelle Fassung.</w:t>
      </w:r>
    </w:p>
    <w:p>
      <w:r>
        <w:t xml:space="preserve">Auf Grund des § 316 Absatz 1 Satz 2 des Fünften Buches Sozialgesetzbuch, der durch Artikel 1 Nummer 31 des Gesetzes vom 14. Oktober 2020 (BGBl. I S. 2115)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TeleFinV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