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TelFlämG (Brandenburg)</w:t>
      </w:r>
    </w:p>
    <w:p>
      <w:r>
        <w:rPr>
          <w:color w:val="555555"/>
          <w:sz w:val="18"/>
        </w:rPr>
        <w:t xml:space="preserve">Teltow-Fläming-Gesetz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Der Kreisname nach § 1 und der Kreissitz nach § 2 werden mit Ablauf des Tages der nächsten landesweiten Kreistagswahl rechtswirksam.</w:t>
      </w:r>
    </w:p>
    <w:p>
      <w:r>
        <w:rPr>
          <w:color w:val="555555"/>
          <w:sz w:val="17"/>
        </w:rPr>
        <w:t xml:space="preserve">Zitiervorschlag: § 4 TelFlämG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https://recht.nulegal.eu/gesetze/TelFl%C3%A4mG/4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