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TechKontrollV</w:t>
      </w:r>
    </w:p>
    <w:p>
      <w:r>
        <w:rPr>
          <w:color w:val="555555"/>
          <w:sz w:val="18"/>
        </w:rPr>
        <w:t xml:space="preserve">Verordnung über technische Kontrollen von Nutzfahrzeugen auf der Straße</w:t>
      </w:r>
    </w:p>
    <w:p>
      <w:r>
        <w:rPr>
          <w:color w:val="555555"/>
          <w:sz w:val="18"/>
        </w:rPr>
        <w:t xml:space="preserve">Stand: 07.05.2026 (konsolidierte Textfassung, kein amtliches Inkrafttretensdatum)</w:t>
      </w:r>
    </w:p>
    <w:p>
      <w:r>
        <w:t xml:space="preserve">Auf Grund des § 6 Abs. 1 Nr. 20 des Straßenverkehrsgesetzes in der Fassung der Bekanntmachung vom 5. März 2003 (BGBl. I S. 310) und des § 17 des Güterkraftverkehrsgesetzes vom 22. Juni 1998 (BGBl. I S. 1485), von denen</w:t>
      </w:r>
    </w:p>
    <w:p>
      <w:pPr>
        <w:ind w:left="420"/>
      </w:pPr>
      <w:r>
        <w:t xml:space="preserve">- § 6 Abs. 1 durch Artikel 244 der Verordnung vom 29. Oktober 2001 (BGBl. I S. 2785) geändert und § 6 Abs. 1 Nr. 20 durch Artikel 1 des Gesetzes vom 11. September 2002 (BGBl. I S. 3574) eingefügt worden ist,</w:t>
      </w:r>
    </w:p>
    <w:p>
      <w:pPr>
        <w:ind w:left="420"/>
      </w:pPr>
      <w:r>
        <w:t xml:space="preserve">- § 17 durch Artikel 251 Nr. 1 der Verordnung vom 29. Oktober 2001 (BGBl. I S. 2785) geändert worden ist,</w:t>
      </w:r>
    </w:p>
    <w:p>
      <w:r>
        <w:t xml:space="preserve">verordnet das Bundesministerium für Verkehr, Bau- und Wohnungswesen:</w:t>
      </w:r>
    </w:p>
    <w:p>
      <w:r>
        <w:rPr>
          <w:color w:val="555555"/>
          <w:sz w:val="17"/>
        </w:rPr>
        <w:t xml:space="preserve">Zitiervorschlag: Eingangsformel TechKontrollV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https://recht.nulegal.eu/gesetze/TechKontrollV/eingangsformel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