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TechKontrollV — Bewertung von Mängeln und Folgemaßnahmen</w:t>
      </w:r>
    </w:p>
    <w:p>
      <w:r>
        <w:rPr>
          <w:color w:val="555555"/>
          <w:sz w:val="18"/>
        </w:rPr>
        <w:t xml:space="preserve">Verordnung über technische Kontrollen von Nutzfahrzeugen auf der Straße</w:t>
      </w:r>
    </w:p>
    <w:p>
      <w:r>
        <w:rPr>
          <w:color w:val="555555"/>
          <w:sz w:val="18"/>
        </w:rPr>
        <w:t xml:space="preserve">Stand: 10.06.2019 (konsolidierte Textfassung, kein amtliches Inkrafttretensdatum)</w:t>
      </w:r>
    </w:p>
    <w:p>
      <w:r>
        <w:t xml:space="preserve">(1) Die bei der Kontrolle festgestellten Mängel werden nach der im Anhang II der Richtlinie 2014/47/EU vorgenommenen Bewertung in eine der Gruppen: geringe Mängel, erhebliche Mängel oder gefährliche Mängel eingestuft. Weist ein Fahrzeug Mängel auf, die in mehrere Mängelgruppen fallen, so wird es in die Gruppe eingeordnet, die dem schwerwiegendsten Mangel entspricht. Ein Fahrzeug mit mehreren Mängeln innerhalb der gleichen Prüfbereiche der technischen Unterwegskontrolle nach Anhang II Nummer 1 der Richtlinie 2014/47/EU wird in die nächsthöhere Mängelgruppe eingestuft, wenn davon auszugehen ist, dass das Zusammenwirken dieser Mängel eine größere Gefährdung der Straßenverkehrssicherheit oder der Umwelt bewirkt.</w:t>
      </w:r>
    </w:p>
    <w:p>
      <w:r>
        <w:t xml:space="preserve">(2) Werden bei der Überprüfung eines Fahrzeugs erhebliche oder gefährliche Mängel festgestellt, kann die Benutzung des Fahrzeugs bis zur Beseitigung der Mängel vorläufig untersagt werden. Sind gefährliche Mängel festgestellt worden, darf eine vorläufige Nutzung des Fahrzeugs allein zu dem Zweck der Beseitigung der Mängel gestattet werden, wenn bei dem Betrieb des Fahrzeugs keine unmittelbaren Gefahren für die Sicherheit der Insassen oder anderer Verkehrsteilnehmer oder für die Umwelt bestehen. Bei Mängeln, die nicht unverzüglich beseitigt werden müssen, bestimmt die zuständige Behörde eine angemessene Frist, binnen derer die Mängel beseitigt werden müssen. Die Befugnis zur vorläufigen Weiternutzung des Fahrzeugs kann mit Bedingungen und Auflagen verbunden werden.</w:t>
      </w:r>
    </w:p>
    <w:p>
      <w:r>
        <w:t xml:space="preserve">(3) Unbeschadet des Absatzes 2 können von der zuständigen Behörde bei erheblichen oder gefährlichen Mängeln folgende Maßnahmen veranlasst werden:</w:t>
      </w:r>
    </w:p>
    <w:p>
      <w:pPr>
        <w:ind w:left="420"/>
      </w:pPr>
      <w:r>
        <w:t xml:space="preserve">1. Übermittlung des Kontrollberichts an die zuständige Zulassungsbehörde, damit diese über Anordnungen nach § 5 der Fahrzeug-Zulassungs-Verordnung entscheiden kann,</w:t>
      </w:r>
    </w:p>
    <w:p>
      <w:pPr>
        <w:ind w:left="420"/>
      </w:pPr>
      <w:r>
        <w:t xml:space="preserve">2. die Verweigerung der Einfahrt des Nutzfahrzeugs, das in einem Drittland zugelassen ist, in die Bundesrepublik Deutschland.</w:t>
      </w:r>
    </w:p>
    <w:p>
      <w:r>
        <w:rPr>
          <w:color w:val="555555"/>
          <w:sz w:val="17"/>
        </w:rPr>
        <w:t xml:space="preserve">Zitiervorschlag: § 7 TechKontrollV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https://recht.nulegal.eu/gesetze/TechKontrollV/7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