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TechKontrollV — Kontrollen auf der Straße</w:t>
      </w:r>
    </w:p>
    <w:p>
      <w:r>
        <w:rPr>
          <w:color w:val="555555"/>
          <w:sz w:val="18"/>
        </w:rPr>
        <w:t xml:space="preserve">Verordnung über technische Kontrollen von Nutzfahrzeugen auf der Straße</w:t>
      </w:r>
    </w:p>
    <w:p>
      <w:r>
        <w:rPr>
          <w:color w:val="555555"/>
          <w:sz w:val="18"/>
        </w:rPr>
        <w:t xml:space="preserve">Stand: 10.06.2019 (konsolidierte Textfassung, kein amtliches Inkrafttretensdatum)</w:t>
      </w:r>
    </w:p>
    <w:p>
      <w:r>
        <w:t xml:space="preserve">(1) Die Auswahl eines Fahrzeugs für die Kontrolle und die Durchführung der Kontrollen erfolgt</w:t>
      </w:r>
    </w:p>
    <w:p>
      <w:pPr>
        <w:ind w:left="420"/>
      </w:pPr>
      <w:r>
        <w:t xml:space="preserve">1. in Ausführung von Artikel 3 der Verordnung (EG) Nr. 1100/2008 des Europäischen Parlaments und des Rates vom 22. Oktober 2008 über den Abbau von Grenzkontrollen der Mitgliedstaaten im Straßen- und Binnenschiffsverkehr (kodifizierte Fassung) (ABl. L 304 vom 14.11.2008, S. 63) und Artikel 1 der Verordnung (EWG) Nr. 3912/92 des Rates vom 17. Dezember 1992 über innerhalb der Gemeinschaft durchgeführte Kontrollen im Straßen- und Binnenschiffsverkehr von in einem Drittland registrierten oder zum Verkehr zugelassenen Verkehrsmitteln (ABl. L 395 vom 31.12.1992, S. 6),</w:t>
      </w:r>
    </w:p>
    <w:p>
      <w:pPr>
        <w:ind w:left="420"/>
      </w:pPr>
      <w:r>
        <w:t xml:space="preserve">2. ohne Unterscheidung hinsichtlich der Staatsangehörigkeit des Fahrers oder des Staates, in dem das Nutzfahrzeug zugelassen oder in Betrieb genommen wurde,</w:t>
      </w:r>
    </w:p>
    <w:p>
      <w:pPr>
        <w:ind w:left="420"/>
      </w:pPr>
      <w:r>
        <w:t xml:space="preserve">3. verdachtsunabhängig oder wenn der Verdacht besteht, dass von dem Fahrzeug eine Gefahr für die Straßenverkehrssicherheit oder die Umwelt ausgeht oder – sobald und soweit möglich – durch Ermitteln von Fahrzeugen, die von Unternehmen mit einem hohen Risikoprofil im Sinne des Artikels 6 der Richtlinie 2014/47/EU betrieben werden.</w:t>
      </w:r>
    </w:p>
    <w:p>
      <w:r>
        <w:t xml:space="preserve">(2) Das System der Kontrollen umfasst anfängliche technische Unterwegskontrollen nach den Absätzen 3 und 4 und gründlichere technische Unterwegskontrollen nach Absatz 5.</w:t>
      </w:r>
    </w:p>
    <w:p>
      <w:r>
        <w:t xml:space="preserve">(3) Jede anfängliche technische Unterwegskontrolle beinhaltet:</w:t>
      </w:r>
    </w:p>
    <w:p>
      <w:pPr>
        <w:ind w:left="420"/>
      </w:pPr>
      <w:r>
        <w:t xml:space="preserve">1. eine Prüfung des letzten für das Nutzfahrzeug erstellten Kontrollberichts über eine Kontrolle nach der Richtlinie 2014/47/EU einschließlich der Prüfung, ob die dort festgestellten Mängel behoben worden sind,</w:t>
      </w:r>
    </w:p>
    <w:p>
      <w:pPr>
        <w:ind w:left="420"/>
      </w:pPr>
      <w:r>
        <w:t xml:space="preserve">2. eine Prüfung der letzten Prüfbescheinigung nach der Richtlinie 2014/45/EU,</w:t>
      </w:r>
    </w:p>
    <w:p>
      <w:pPr>
        <w:ind w:left="420"/>
      </w:pPr>
      <w:r>
        <w:t xml:space="preserve">3. eine Sichtprüfung des technischen Zustandes des Nutzfahrzeugs.</w:t>
      </w:r>
    </w:p>
    <w:p>
      <w:r>
        <w:t xml:space="preserve">Der Kontrollbericht nach Nummer 1 und die Prüfbescheinigung nach Nummer 2 sind zum Zweck der Kontrolle im Fahrzeug mitzuführen.</w:t>
      </w:r>
    </w:p>
    <w:p>
      <w:r>
        <w:t xml:space="preserve">(4) Zusätzlich zu den im Absatz 3 genannten Prüfarten kann die anfängliche technische Unterwegskontrolle Folgendes beinhalten:</w:t>
      </w:r>
    </w:p>
    <w:p>
      <w:pPr>
        <w:ind w:left="420"/>
      </w:pPr>
      <w:r>
        <w:t xml:space="preserve">1. Sichtprüfung der Sicherung der Ladung des Fahrzeugs in Übereinstimmung mit § 22 Absatz 1 der Straßenverkehrs-Ordnung und Anhang III Abschnitt II der Richtlinie 2014/47/EU,</w:t>
      </w:r>
    </w:p>
    <w:p>
      <w:pPr>
        <w:ind w:left="420"/>
      </w:pPr>
      <w:r>
        <w:t xml:space="preserve">2. technische Prüfung von im Anhang II der Richtlinie 2014/47/EU aufgeführten Positionen nach jeder für zweckmäßig erachteten Methode.</w:t>
      </w:r>
    </w:p>
    <w:p>
      <w:r>
        <w:t xml:space="preserve">(5) Wird bei der anfänglichen technischen Unterwegskontrolle festgestellt, dass bestimmte in Anhang II der Richtlinie 2014/47/EU aufgeführte Positionen nicht überprüft werden können, eine solche Prüfung aber für notwendig gehalten wird, wird das Fahrzeug oder sein Anhänger einer gründlicheren Unterwegskontrolle unterzogen. Bei der gründlicheren Unterwegskontrolle werden insbesondere die Sicherheit der Brems- und Lenkanlage, der Reifen, der Räder, des Fahrgestells und die Umweltbelastung berücksichtigt.</w:t>
      </w:r>
    </w:p>
    <w:p>
      <w:r>
        <w:t xml:space="preserve">(6) Die gründlichere technische Unterwegskontrolle wird in einer Untersuchungsstelle nach Anlage VIIId der Straßenverkehrs-Zulassungs-Ordnung, unter Einsatz einer mobilen Kontrolleinheit oder in einer speziellen Einrichtung für Unterwegskontrollen durchgeführt. Soll die gründlichere Kontrolle in einer Prüfstelle oder in einer speziellen Einrichtung für Unterwegskontrollen durchgeführt werden, sind die Kontrollen so rasch wie möglich in einer der am nächsten gelegenen nutzbaren Prüfstellen oder Einrichtungen durchzuführen. Mobile Kontrolleinheiten und spezielle Einrichtungen für Unterwegskontrollen müssen über geeignete Ausstattungen zur Durchführung einer gründlicheren Kontrolle verfügen, insbesondere zur Beurteilung des Zustandes der Bremsen und der Bremswirkung, der Lenkung und der Aufhängung des Fahrzeugs und der vom Fahrzeug ausgehenden Umweltbelastung. Die Prüfer und deren Beauftragte, die die gründlichere Kontrolle durchführen, müssen die Mindestanforderungen an die Qualifikation und Ausbildung nach Artikel 13 und Anhang IV der Richtlinie 2014/45/EU erfüllen.</w:t>
      </w:r>
    </w:p>
    <w:p>
      <w:r>
        <w:t xml:space="preserve">(7) Wenn aus dem Bericht über eine Kontrolle nach der Richtlinie 2014/47/EU oder aus einer Prüfbescheinigung nach der Richtlinie 2014/45/EU hervorgeht, dass eine der in Anhang II aufgeführten Positionen während der vorangegangenen drei Monate bereits Gegenstand einer Kontrolle war, wird bei der Kontrolle auf die erneute Überprüfung verzichtet, es sei denn, der Zustand stimmt mit dem Ergebnis des Berichts oder der Prüfbescheinigung nicht überein oder es liegt ein offensichtlicher Mangel vor.</w:t>
      </w:r>
    </w:p>
    <w:p>
      <w:r>
        <w:rPr>
          <w:color w:val="555555"/>
          <w:sz w:val="17"/>
        </w:rPr>
        <w:t xml:space="preserve">Zitiervorschlag: § 5 TechKontrollV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https://recht.nulegal.eu/gesetze/TechKontrollV/5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