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TechKontrollV — Begriffsbestimmungen</w:t>
      </w:r>
    </w:p>
    <w:p>
      <w:r>
        <w:rPr>
          <w:color w:val="555555"/>
          <w:sz w:val="18"/>
        </w:rPr>
        <w:t xml:space="preserve">Verordnung über technische Kontrollen von Nutzfahrzeugen auf der Straße</w:t>
      </w:r>
    </w:p>
    <w:p>
      <w:r>
        <w:rPr>
          <w:color w:val="555555"/>
          <w:sz w:val="18"/>
        </w:rPr>
        <w:t xml:space="preserve">Stand: 29.11.2022 (konsolidierte Textfassung, kein amtliches Inkrafttretensdatum)</w:t>
      </w:r>
    </w:p>
    <w:p>
      <w:r>
        <w:t xml:space="preserve">Im Sinne dieser Verordnung bezeichnet der Begriff:</w:t>
      </w:r>
    </w:p>
    <w:p>
      <w:pPr>
        <w:ind w:left="420"/>
      </w:pPr>
      <w:r>
        <w:t xml:space="preserve">1. „Nutzfahrzeug“: ein Kraftfahrzeug samt zugehörigem Anhänger oder Sattelanhänger, das der Beförderung von Gütern oder Fahrgästen dient und</w:t>
      </w:r>
    </w:p>
    <w:p>
      <w:pPr>
        <w:ind w:left="780"/>
      </w:pPr>
      <w:r>
        <w:t xml:space="preserve">a) der Fahrzeugklasse M2, M3, N2, N3, O3 oder O4 nach Artikel 4 der Verordnung (EU)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(ABl. L 151 vom 14.6.2018, S. 1), die zuletzt durch die Delegierte Verordnung (EU) 2021/1445 (ABl. L 313 vom 6.9.2021, S. 4) geändert worden ist, oder</w:t>
      </w:r>
    </w:p>
    <w:p>
      <w:pPr>
        <w:ind w:left="780"/>
      </w:pPr>
      <w:r>
        <w:t xml:space="preserve">b) der Fahrzeugklasse T1b, T2b, T3b, T4.1b, T4.2b oder T4.3b nach Artikel 4 der Verordnung (EU) Nr. 167/2013 des Europäischen Parlaments und des Rates vom 5. Februar 2013 über die Genehmigung und Marktüberwachung von land- und forstwirtschaftlichen Fahrzeugen (ABl. L 60 vom 2.3.2013, S. 1), die zuletzt durch die Verordnung (EU) 2019/519 (ABl. L 91 vom 29.3.2019, S. 42) geändert worden ist,</w:t>
      </w:r>
    </w:p>
    <w:p>
      <w:pPr>
        <w:ind w:left="420"/>
      </w:pPr>
      <w:r>
        <w:t xml:space="preserve">angehört,</w:t>
      </w:r>
    </w:p>
    <w:p>
      <w:pPr>
        <w:ind w:left="420"/>
      </w:pPr>
      <w:r>
        <w:t xml:space="preserve">2. "Kontrolle": die von den Behörden nicht angekündigte und somit unerwartete, auf öffentlichen Straßen oder hierfür durch die nach § 3 Absatz 1 zuständigen Behörden gesondert bestimmten Flächen durchgeführte Überwachung, Prüfung oder Untersuchung eines Nutzfahrzeugs hinsichtlich seines technischen Zustands nach den Maßgaben des § 5 durch die zuständigen Behörden,</w:t>
      </w:r>
    </w:p>
    <w:p>
      <w:pPr>
        <w:ind w:left="420"/>
      </w:pPr>
      <w:r>
        <w:t xml:space="preserve">3. „Prüfpunkt“: die technische Ausrüstung und Beschaffenheit der Nutzfahrzeuge, die kontrolliert werden sollen und die Sicherung der mit ihnen beförderten Ladung; die Prüfpunkte sind in den Anhängen II, III Abschnitt II und im Anhang IV der Richtlinie 2014/47/EU des Europäischen Parlaments und des Rates vom 3. April 2014 über die technische Unterwegskontrolle der Verkehrs- und Betriebssicherheit von Nutzfahrzeugen, die in der Union am Straßenverkehr teilnehmen, und zur Aufhebung der Richtlinie 2000/30/EG (ABl. L 127 vom 29.4.2014, S. 134; L 197 vom 4.7.2014, S. 87) aufgelistet,</w:t>
      </w:r>
    </w:p>
    <w:p>
      <w:pPr>
        <w:ind w:left="420"/>
      </w:pPr>
      <w:r>
        <w:t xml:space="preserve">4. "Mitgliedstaaten": solche, die Mitgliedstaaten der Europäischen Union oder Vertragsstaaten des Abkommens über den Europäischen Wirtschaftsraum sind,</w:t>
      </w:r>
    </w:p>
    <w:p>
      <w:pPr>
        <w:ind w:left="420"/>
      </w:pPr>
      <w:r>
        <w:t xml:space="preserve">5. „Sichtprüfung“: Inaugenscheinnahme auch im Zusammenhang mit Betätigung der betreffenden Einrichtungen,</w:t>
      </w:r>
    </w:p>
    <w:p>
      <w:pPr>
        <w:ind w:left="420"/>
      </w:pPr>
      <w:r>
        <w:t xml:space="preserve">6. „geringe Mängel“: solche ohne bedeutende Auswirkung auf die Fahrzeugsicherheit oder auf die Umwelt sowie andere geringfügige Unregelmäßigkeiten,</w:t>
      </w:r>
    </w:p>
    <w:p>
      <w:pPr>
        <w:ind w:left="420"/>
      </w:pPr>
      <w:r>
        <w:t xml:space="preserve">7. „erhebliche Mängel“: solche, die die Fahrzeugsicherheit oder die Umwelt beeinträchtigen oder durch die andere Verkehrsteilnehmer gefährdet werden können oder andere bedeutende Unregelmäßigkeiten,</w:t>
      </w:r>
    </w:p>
    <w:p>
      <w:pPr>
        <w:ind w:left="420"/>
      </w:pPr>
      <w:r>
        <w:t xml:space="preserve">8. „gefährliche Mängel“: solche, die eine direkte und unmittelbare Gefahr für die Straßenverkehrssicherheit darstellen oder die Umwelt beeinträchtigen.</w:t>
      </w:r>
    </w:p>
    <w:p>
      <w:r>
        <w:rPr>
          <w:color w:val="555555"/>
          <w:sz w:val="17"/>
        </w:rPr>
        <w:t xml:space="preserve">Zitiervorschlag: § 2 TechKontrollV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https://recht.nulegal.eu/gesetze/TechKontrollV/2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