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TechKontrollV — Kontrollen des Bundesamtes für Logistik und Mobilität, der Bundespolizei und der Zollverwaltung</w:t>
      </w:r>
    </w:p>
    <w:p>
      <w:r>
        <w:rPr>
          <w:color w:val="555555"/>
          <w:sz w:val="18"/>
        </w:rPr>
        <w:t xml:space="preserve">Verordnung über technische Kontrollen von Nutzfahrzeugen auf der Straße</w:t>
      </w:r>
    </w:p>
    <w:p>
      <w:r>
        <w:rPr>
          <w:color w:val="555555"/>
          <w:sz w:val="18"/>
        </w:rPr>
        <w:t xml:space="preserve">Stand: 09.03.2023 (konsolidierte Textfassung, kein amtliches Inkrafttretensdatum)</w:t>
      </w:r>
    </w:p>
    <w:p>
      <w:r>
        <w:t xml:space="preserve">Diese Verordnung wird entsprechend angewendet durch:</w:t>
      </w:r>
    </w:p>
    <w:p>
      <w:pPr>
        <w:ind w:left="420"/>
      </w:pPr>
      <w:r>
        <w:t xml:space="preserve">1. das Bundesamt für Logistik und Mobilität gemäß § 11 Abs. 2 Nr. 3 Buchstabe m des Güterkraftverkehrsgesetzes,</w:t>
      </w:r>
    </w:p>
    <w:p>
      <w:pPr>
        <w:ind w:left="420"/>
      </w:pPr>
      <w:r>
        <w:t xml:space="preserve">2. die Bundespolizei bei Einfahrten von Nutzfahrzeugen aus einem Drittland nach Deutschland im Rahmen seiner Gefahrenabwehr und</w:t>
      </w:r>
    </w:p>
    <w:p>
      <w:pPr>
        <w:ind w:left="420"/>
      </w:pPr>
      <w:r>
        <w:t xml:space="preserve">3. den Grenzzolldienst bei Kontrollen an den Grenzübergängen und im grenznahen Raum.</w:t>
      </w:r>
    </w:p>
    <w:p>
      <w:r>
        <w:rPr>
          <w:color w:val="555555"/>
          <w:sz w:val="17"/>
        </w:rPr>
        <w:t xml:space="preserve">Zitiervorschlag: § 11 TechKontrollV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https://recht.nulegal.eu/gesetze/TechKontrollV/11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