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TechKontrollV — Anwendungsbereich</w:t>
      </w:r>
    </w:p>
    <w:p>
      <w:r>
        <w:rPr>
          <w:color w:val="555555"/>
          <w:sz w:val="18"/>
        </w:rPr>
        <w:t xml:space="preserve">Verordnung über technische Kontrollen von Nutzfahrzeugen auf der Straße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dieser Verordnung gelten für die technische Kontrolle von Nutzfahrzeugen, die am Straßenverkehr teilnehmen oder aus einem Drittland in Deutschland einfahren.</w:t>
      </w:r>
    </w:p>
    <w:p>
      <w:r>
        <w:t xml:space="preserve">(2) Auf Grund anderer Rechtsvorschriften durchzuführende Kontrollen von Nutzfahrzeugen, die nicht unter Absatz 1 fallen, bleiben unberührt.</w:t>
      </w:r>
    </w:p>
    <w:p>
      <w:r>
        <w:rPr>
          <w:color w:val="555555"/>
          <w:sz w:val="17"/>
        </w:rPr>
        <w:t xml:space="preserve">Zitiervorschlag: § 1 TechKontrollV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https://recht.nulegal.eu/gesetze/TechKontrollV/1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